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center"/>
        <w:rPr>
          <w:rFonts w:ascii="方正小标宋简体" w:hAnsi="方正小标宋简体" w:eastAsia="方正小标宋简体" w:cs="方正小标宋简体"/>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佛山高新区瞪羚企业认定及扶持办法</w:t>
      </w:r>
    </w:p>
    <w:p>
      <w:pPr>
        <w:adjustRightInd w:val="0"/>
        <w:snapToGrid w:val="0"/>
        <w:spacing w:line="560" w:lineRule="exact"/>
        <w:jc w:val="center"/>
        <w:rPr>
          <w:rFonts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（征求意见稿，201807</w:t>
      </w:r>
      <w:r>
        <w:rPr>
          <w:rFonts w:ascii="仿宋" w:hAnsi="仿宋" w:eastAsia="仿宋" w:cs="仿宋"/>
          <w:b/>
          <w:color w:val="000000" w:themeColor="text1"/>
          <w:sz w:val="32"/>
          <w:szCs w:val="32"/>
          <w14:textFill>
            <w14:solidFill>
              <w14:schemeClr w14:val="tx1"/>
            </w14:solidFill>
          </w14:textFill>
        </w:rPr>
        <w:t>24</w:t>
      </w:r>
      <w:r>
        <w:rPr>
          <w:rFonts w:hint="eastAsia" w:ascii="仿宋" w:hAnsi="仿宋" w:eastAsia="仿宋" w:cs="仿宋"/>
          <w:b/>
          <w:color w:val="000000" w:themeColor="text1"/>
          <w:sz w:val="32"/>
          <w:szCs w:val="32"/>
          <w14:textFill>
            <w14:solidFill>
              <w14:schemeClr w14:val="tx1"/>
            </w14:solidFill>
          </w14:textFill>
        </w:rPr>
        <w:t>）</w:t>
      </w:r>
    </w:p>
    <w:p>
      <w:pPr>
        <w:adjustRightInd w:val="0"/>
        <w:snapToGrid w:val="0"/>
        <w:spacing w:line="560" w:lineRule="exact"/>
        <w:jc w:val="center"/>
        <w:rPr>
          <w:rFonts w:ascii="仿宋" w:hAnsi="仿宋" w:eastAsia="仿宋" w:cs="仿宋"/>
          <w:b/>
          <w:color w:val="000000" w:themeColor="text1"/>
          <w:sz w:val="32"/>
          <w:szCs w:val="32"/>
          <w14:textFill>
            <w14:solidFill>
              <w14:schemeClr w14:val="tx1"/>
            </w14:solidFill>
          </w14:textFill>
        </w:rPr>
      </w:pPr>
    </w:p>
    <w:p>
      <w:pPr>
        <w:numPr>
          <w:ilvl w:val="255"/>
          <w:numId w:val="0"/>
        </w:numPr>
        <w:adjustRightInd w:val="0"/>
        <w:snapToGrid w:val="0"/>
        <w:spacing w:line="560" w:lineRule="exact"/>
        <w:jc w:val="center"/>
        <w:rPr>
          <w:rStyle w:val="10"/>
          <w:rFonts w:ascii="黑体" w:hAnsi="黑体" w:eastAsia="黑体" w:cs="黑体"/>
          <w:b w:val="0"/>
          <w:bCs/>
          <w:color w:val="000000" w:themeColor="text1"/>
          <w:sz w:val="32"/>
          <w:szCs w:val="32"/>
          <w:shd w:val="clear" w:color="auto" w:fill="FFFFFF"/>
          <w14:textFill>
            <w14:solidFill>
              <w14:schemeClr w14:val="tx1"/>
            </w14:solidFill>
          </w14:textFill>
        </w:rPr>
      </w:pPr>
      <w:r>
        <w:rPr>
          <w:rStyle w:val="10"/>
          <w:rFonts w:hint="eastAsia" w:ascii="黑体" w:hAnsi="黑体" w:eastAsia="黑体" w:cs="黑体"/>
          <w:b w:val="0"/>
          <w:bCs/>
          <w:color w:val="000000" w:themeColor="text1"/>
          <w:sz w:val="32"/>
          <w:szCs w:val="32"/>
          <w:shd w:val="clear" w:color="auto" w:fill="FFFFFF"/>
          <w14:textFill>
            <w14:solidFill>
              <w14:schemeClr w14:val="tx1"/>
            </w14:solidFill>
          </w14:textFill>
        </w:rPr>
        <w:t xml:space="preserve">第一章 </w:t>
      </w:r>
      <w:r>
        <w:rPr>
          <w:rStyle w:val="10"/>
          <w:rFonts w:ascii="黑体" w:hAnsi="黑体" w:eastAsia="黑体" w:cs="黑体"/>
          <w:b w:val="0"/>
          <w:bCs/>
          <w:color w:val="000000" w:themeColor="text1"/>
          <w:sz w:val="32"/>
          <w:szCs w:val="32"/>
          <w:shd w:val="clear" w:color="auto" w:fill="FFFFFF"/>
          <w14:textFill>
            <w14:solidFill>
              <w14:schemeClr w14:val="tx1"/>
            </w14:solidFill>
          </w14:textFill>
        </w:rPr>
        <w:t xml:space="preserve"> </w:t>
      </w:r>
      <w:r>
        <w:rPr>
          <w:rStyle w:val="10"/>
          <w:rFonts w:hint="eastAsia" w:ascii="黑体" w:hAnsi="黑体" w:eastAsia="黑体" w:cs="黑体"/>
          <w:b w:val="0"/>
          <w:bCs/>
          <w:color w:val="000000" w:themeColor="text1"/>
          <w:sz w:val="32"/>
          <w:szCs w:val="32"/>
          <w:shd w:val="clear" w:color="auto" w:fill="FFFFFF"/>
          <w14:textFill>
            <w14:solidFill>
              <w14:schemeClr w14:val="tx1"/>
            </w14:solidFill>
          </w14:textFill>
        </w:rPr>
        <w:t>总 则</w:t>
      </w:r>
    </w:p>
    <w:p>
      <w:pPr>
        <w:numPr>
          <w:ilvl w:val="255"/>
          <w:numId w:val="0"/>
        </w:numPr>
        <w:adjustRightInd w:val="0"/>
        <w:snapToGrid w:val="0"/>
        <w:spacing w:line="560" w:lineRule="exact"/>
        <w:ind w:firstLine="643" w:firstLineChars="20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楷体" w:hAnsi="楷体" w:eastAsia="楷体" w:cs="楷体"/>
          <w:b/>
          <w:bCs/>
          <w:color w:val="000000" w:themeColor="text1"/>
          <w:sz w:val="32"/>
          <w:szCs w:val="32"/>
          <w:shd w:val="clear" w:color="auto" w:fill="FFFFFF"/>
          <w14:textFill>
            <w14:solidFill>
              <w14:schemeClr w14:val="tx1"/>
            </w14:solidFill>
          </w14:textFill>
        </w:rPr>
        <w:t>第一条</w:t>
      </w:r>
      <w:r>
        <w:rPr>
          <w:rFonts w:hint="eastAsia" w:ascii="仿宋" w:hAnsi="仿宋" w:eastAsia="仿宋" w:cs="仿宋"/>
          <w:color w:val="000000" w:themeColor="text1"/>
          <w:sz w:val="32"/>
          <w:szCs w:val="32"/>
          <w:shd w:val="clear" w:color="auto" w:fill="FFFFFF"/>
          <w14:textFill>
            <w14:solidFill>
              <w14:schemeClr w14:val="tx1"/>
            </w14:solidFill>
          </w14:textFill>
        </w:rPr>
        <w:t xml:space="preserve"> 为加快发展高新技术产业，激发企业创新活力，重点培育和鼓励引进一批快速增长、创新性强的优质企业，创建创新型园区，推进国家自主创新示范区建设，佛山高新区管委会决定开展瞪羚企业认定及扶持工作，特制定本办法。</w:t>
      </w:r>
    </w:p>
    <w:p>
      <w:pPr>
        <w:pStyle w:val="8"/>
        <w:widowControl/>
        <w:shd w:val="clear" w:color="auto" w:fill="FFFFFF"/>
        <w:adjustRightInd w:val="0"/>
        <w:snapToGrid w:val="0"/>
        <w:spacing w:beforeAutospacing="0" w:afterAutospacing="0" w:line="560" w:lineRule="exact"/>
        <w:ind w:firstLine="643" w:firstLineChars="200"/>
        <w:rPr>
          <w:rFonts w:ascii="仿宋" w:hAnsi="仿宋" w:eastAsia="仿宋" w:cs="仿宋"/>
          <w:color w:val="000000" w:themeColor="text1"/>
          <w:sz w:val="32"/>
          <w:szCs w:val="32"/>
          <w14:textFill>
            <w14:solidFill>
              <w14:schemeClr w14:val="tx1"/>
            </w14:solidFill>
          </w14:textFill>
        </w:rPr>
      </w:pPr>
      <w:r>
        <w:rPr>
          <w:rFonts w:hint="eastAsia" w:ascii="楷体" w:hAnsi="楷体" w:eastAsia="楷体" w:cs="楷体"/>
          <w:b/>
          <w:bCs/>
          <w:color w:val="000000" w:themeColor="text1"/>
          <w:kern w:val="2"/>
          <w:sz w:val="32"/>
          <w:szCs w:val="32"/>
          <w:shd w:val="clear" w:color="auto" w:fill="FFFFFF"/>
          <w14:textFill>
            <w14:solidFill>
              <w14:schemeClr w14:val="tx1"/>
            </w14:solidFill>
          </w14:textFill>
        </w:rPr>
        <w:t>第二条</w:t>
      </w:r>
      <w:r>
        <w:rPr>
          <w:rFonts w:hint="eastAsia" w:ascii="仿宋" w:hAnsi="仿宋" w:eastAsia="仿宋" w:cs="仿宋"/>
          <w:color w:val="000000" w:themeColor="text1"/>
          <w:sz w:val="32"/>
          <w:szCs w:val="32"/>
          <w:shd w:val="clear" w:color="auto" w:fill="FFFFFF"/>
          <w14:textFill>
            <w14:solidFill>
              <w14:schemeClr w14:val="tx1"/>
            </w14:solidFill>
          </w14:textFill>
        </w:rPr>
        <w:t xml:space="preserve"> 本办法所指瞪羚企业是指成长速度快、创新能力强、发展前景好、科技含量高，从事高新技术产业的成长型企业。</w:t>
      </w:r>
    </w:p>
    <w:p>
      <w:pPr>
        <w:pStyle w:val="8"/>
        <w:widowControl/>
        <w:shd w:val="clear" w:color="auto" w:fill="FFFFFF"/>
        <w:adjustRightInd w:val="0"/>
        <w:snapToGrid w:val="0"/>
        <w:spacing w:beforeAutospacing="0" w:afterAutospacing="0" w:line="560" w:lineRule="exact"/>
        <w:ind w:firstLine="643" w:firstLineChars="200"/>
        <w:rPr>
          <w:rFonts w:ascii="仿宋" w:hAnsi="仿宋" w:eastAsia="仿宋" w:cs="仿宋"/>
          <w:color w:val="000000" w:themeColor="text1"/>
          <w:sz w:val="32"/>
          <w:szCs w:val="32"/>
          <w14:textFill>
            <w14:solidFill>
              <w14:schemeClr w14:val="tx1"/>
            </w14:solidFill>
          </w14:textFill>
        </w:rPr>
      </w:pPr>
      <w:r>
        <w:rPr>
          <w:rFonts w:hint="eastAsia" w:ascii="楷体" w:hAnsi="楷体" w:eastAsia="楷体" w:cs="楷体"/>
          <w:b/>
          <w:bCs/>
          <w:color w:val="000000" w:themeColor="text1"/>
          <w:kern w:val="2"/>
          <w:sz w:val="32"/>
          <w:szCs w:val="32"/>
          <w:shd w:val="clear" w:color="auto" w:fill="FFFFFF"/>
          <w14:textFill>
            <w14:solidFill>
              <w14:schemeClr w14:val="tx1"/>
            </w14:solidFill>
          </w14:textFill>
        </w:rPr>
        <w:t xml:space="preserve">第三条 </w:t>
      </w:r>
      <w:r>
        <w:rPr>
          <w:rFonts w:hint="eastAsia" w:ascii="仿宋" w:hAnsi="仿宋" w:eastAsia="仿宋" w:cs="仿宋"/>
          <w:color w:val="000000" w:themeColor="text1"/>
          <w:sz w:val="32"/>
          <w:szCs w:val="32"/>
          <w:shd w:val="clear" w:color="auto" w:fill="FFFFFF"/>
          <w14:textFill>
            <w14:solidFill>
              <w14:schemeClr w14:val="tx1"/>
            </w14:solidFill>
          </w14:textFill>
        </w:rPr>
        <w:t>正式认定的佛山高新区瞪羚企业有效期为1年，到期后可再次申请认定。</w:t>
      </w:r>
    </w:p>
    <w:p>
      <w:pPr>
        <w:numPr>
          <w:ilvl w:val="255"/>
          <w:numId w:val="0"/>
        </w:numPr>
        <w:adjustRightInd w:val="0"/>
        <w:snapToGrid w:val="0"/>
        <w:spacing w:line="560" w:lineRule="exact"/>
        <w:jc w:val="center"/>
        <w:rPr>
          <w:rStyle w:val="10"/>
          <w:rFonts w:ascii="黑体" w:hAnsi="黑体" w:eastAsia="黑体" w:cs="黑体"/>
          <w:b w:val="0"/>
          <w:bCs/>
          <w:color w:val="000000" w:themeColor="text1"/>
          <w:sz w:val="32"/>
          <w:szCs w:val="32"/>
          <w:shd w:val="clear" w:color="auto" w:fill="FFFFFF"/>
          <w14:textFill>
            <w14:solidFill>
              <w14:schemeClr w14:val="tx1"/>
            </w14:solidFill>
          </w14:textFill>
        </w:rPr>
      </w:pPr>
      <w:r>
        <w:rPr>
          <w:rStyle w:val="10"/>
          <w:rFonts w:hint="eastAsia" w:ascii="黑体" w:hAnsi="黑体" w:eastAsia="黑体" w:cs="黑体"/>
          <w:b w:val="0"/>
          <w:bCs/>
          <w:color w:val="000000" w:themeColor="text1"/>
          <w:sz w:val="32"/>
          <w:szCs w:val="32"/>
          <w:shd w:val="clear" w:color="auto" w:fill="FFFFFF"/>
          <w14:textFill>
            <w14:solidFill>
              <w14:schemeClr w14:val="tx1"/>
            </w14:solidFill>
          </w14:textFill>
        </w:rPr>
        <w:t xml:space="preserve">第二章 </w:t>
      </w:r>
      <w:r>
        <w:rPr>
          <w:rStyle w:val="10"/>
          <w:rFonts w:ascii="黑体" w:hAnsi="黑体" w:eastAsia="黑体" w:cs="黑体"/>
          <w:b w:val="0"/>
          <w:bCs/>
          <w:color w:val="000000" w:themeColor="text1"/>
          <w:sz w:val="32"/>
          <w:szCs w:val="32"/>
          <w:shd w:val="clear" w:color="auto" w:fill="FFFFFF"/>
          <w14:textFill>
            <w14:solidFill>
              <w14:schemeClr w14:val="tx1"/>
            </w14:solidFill>
          </w14:textFill>
        </w:rPr>
        <w:t xml:space="preserve"> </w:t>
      </w:r>
      <w:r>
        <w:rPr>
          <w:rStyle w:val="10"/>
          <w:rFonts w:hint="eastAsia" w:ascii="黑体" w:hAnsi="黑体" w:eastAsia="黑体" w:cs="黑体"/>
          <w:b w:val="0"/>
          <w:bCs/>
          <w:color w:val="000000" w:themeColor="text1"/>
          <w:sz w:val="32"/>
          <w:szCs w:val="32"/>
          <w:shd w:val="clear" w:color="auto" w:fill="FFFFFF"/>
          <w14:textFill>
            <w14:solidFill>
              <w14:schemeClr w14:val="tx1"/>
            </w14:solidFill>
          </w14:textFill>
        </w:rPr>
        <w:t>认定条件</w:t>
      </w:r>
    </w:p>
    <w:p>
      <w:pPr>
        <w:adjustRightInd w:val="0"/>
        <w:snapToGrid w:val="0"/>
        <w:spacing w:line="560" w:lineRule="exact"/>
        <w:ind w:firstLine="643" w:firstLineChars="200"/>
        <w:rPr>
          <w:rFonts w:ascii="仿宋" w:hAnsi="仿宋" w:eastAsia="仿宋" w:cs="仿宋"/>
          <w:color w:val="000000" w:themeColor="text1"/>
          <w:sz w:val="32"/>
          <w:szCs w:val="32"/>
          <w14:textFill>
            <w14:solidFill>
              <w14:schemeClr w14:val="tx1"/>
            </w14:solidFill>
          </w14:textFill>
        </w:rPr>
      </w:pPr>
      <w:bookmarkStart w:id="0" w:name="_Hlk512428877"/>
      <w:r>
        <w:rPr>
          <w:rFonts w:hint="eastAsia" w:ascii="楷体" w:hAnsi="楷体" w:eastAsia="楷体" w:cs="楷体"/>
          <w:b/>
          <w:bCs/>
          <w:color w:val="000000" w:themeColor="text1"/>
          <w:sz w:val="32"/>
          <w:szCs w:val="32"/>
          <w:shd w:val="clear" w:color="auto" w:fill="FFFFFF"/>
          <w14:textFill>
            <w14:solidFill>
              <w14:schemeClr w14:val="tx1"/>
            </w14:solidFill>
          </w14:textFill>
        </w:rPr>
        <w:t>第四条</w:t>
      </w:r>
      <w:r>
        <w:rPr>
          <w:rFonts w:hint="eastAsia" w:ascii="仿宋" w:hAnsi="仿宋" w:eastAsia="仿宋" w:cs="仿宋"/>
          <w:color w:val="000000" w:themeColor="text1"/>
          <w:sz w:val="32"/>
          <w:szCs w:val="32"/>
          <w:shd w:val="clear" w:color="auto" w:fill="FFFFFF"/>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企业申报“瞪羚企业”须满足以下全部条件：</w:t>
      </w:r>
    </w:p>
    <w:p>
      <w:pPr>
        <w:adjustRightInd w:val="0"/>
        <w:snapToGrid w:val="0"/>
        <w:spacing w:line="56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（一）在佛山高新区“一区五园”内注册三年以上且实地经营，财务制度健全、</w:t>
      </w:r>
      <w:bookmarkStart w:id="1" w:name="OLE_LINK19"/>
      <w:bookmarkEnd w:id="1"/>
      <w:bookmarkStart w:id="2" w:name="OLE_LINK18"/>
      <w:r>
        <w:rPr>
          <w:rFonts w:hint="eastAsia" w:ascii="仿宋" w:hAnsi="仿宋" w:eastAsia="仿宋" w:cs="仿宋"/>
          <w:color w:val="000000" w:themeColor="text1"/>
          <w:sz w:val="32"/>
          <w:szCs w:val="32"/>
          <w14:textFill>
            <w14:solidFill>
              <w14:schemeClr w14:val="tx1"/>
            </w14:solidFill>
          </w14:textFill>
        </w:rPr>
        <w:t>实行独立核算的</w:t>
      </w:r>
      <w:bookmarkEnd w:id="2"/>
      <w:r>
        <w:rPr>
          <w:rFonts w:hint="eastAsia" w:ascii="仿宋" w:hAnsi="仿宋" w:eastAsia="仿宋" w:cs="仿宋"/>
          <w:color w:val="000000" w:themeColor="text1"/>
          <w:sz w:val="32"/>
          <w:szCs w:val="32"/>
          <w14:textFill>
            <w14:solidFill>
              <w14:schemeClr w14:val="tx1"/>
            </w14:solidFill>
          </w14:textFill>
        </w:rPr>
        <w:t>企业。</w:t>
      </w:r>
    </w:p>
    <w:p>
      <w:pPr>
        <w:adjustRightInd w:val="0"/>
        <w:snapToGrid w:val="0"/>
        <w:spacing w:line="56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行业性质：符合佛山高新区产业发展方向，重点围绕汽车零部件制造、高端装备制造、智能制造、光电产业、新材料产业、智能家居、生物医药、现代服务业、电子信息、新能源、节能环保等行业或相关制造领域的生产性服务业领域；烟草、铁路、矿产资源、公用事业、房地产、基础建设、银行、保险、传统商贸等垄断型、资源型行业除外。</w:t>
      </w:r>
    </w:p>
    <w:p>
      <w:pPr>
        <w:adjustRightInd w:val="0"/>
        <w:snapToGrid w:val="0"/>
        <w:spacing w:line="56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（三）企业性质：非大型央企、国企、外企的生产基地、分公司、销售公司、贸易公司等。</w:t>
      </w:r>
    </w:p>
    <w:p>
      <w:pPr>
        <w:adjustRightInd w:val="0"/>
        <w:snapToGrid w:val="0"/>
        <w:spacing w:line="56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（四）企业无违法记录，近三年无重大安全事故。</w:t>
      </w:r>
    </w:p>
    <w:p>
      <w:pPr>
        <w:adjustRightInd w:val="0"/>
        <w:snapToGrid w:val="0"/>
        <w:spacing w:line="560" w:lineRule="exact"/>
        <w:ind w:firstLine="643" w:firstLineChars="200"/>
        <w:rPr>
          <w:rFonts w:ascii="仿宋" w:hAnsi="仿宋" w:eastAsia="仿宋" w:cs="仿宋"/>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shd w:val="clear" w:color="auto" w:fill="FFFFFF"/>
          <w14:textFill>
            <w14:solidFill>
              <w14:schemeClr w14:val="tx1"/>
            </w14:solidFill>
          </w14:textFill>
        </w:rPr>
        <w:t>第五条</w:t>
      </w:r>
      <w:r>
        <w:rPr>
          <w:rFonts w:hint="eastAsia" w:ascii="仿宋" w:hAnsi="仿宋" w:eastAsia="仿宋" w:cs="仿宋"/>
          <w:color w:val="000000" w:themeColor="text1"/>
          <w:sz w:val="32"/>
          <w:szCs w:val="32"/>
          <w:shd w:val="clear" w:color="auto" w:fill="FFFFFF"/>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“瞪羚企业”的认定，须同时满足“规模效益指标”和“创新门槛指标”：</w:t>
      </w:r>
    </w:p>
    <w:p>
      <w:pPr>
        <w:adjustRightInd w:val="0"/>
        <w:snapToGrid w:val="0"/>
        <w:spacing w:line="560" w:lineRule="exact"/>
        <w:ind w:firstLine="643" w:firstLineChars="200"/>
        <w:rPr>
          <w:rFonts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（一）规模效益指标</w:t>
      </w:r>
    </w:p>
    <w:p>
      <w:pPr>
        <w:adjustRightInd w:val="0"/>
        <w:snapToGrid w:val="0"/>
        <w:spacing w:line="56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入选需满足以下条件之一：</w:t>
      </w:r>
    </w:p>
    <w:p>
      <w:pPr>
        <w:adjustRightInd w:val="0"/>
        <w:snapToGrid w:val="0"/>
        <w:spacing w:line="56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Ⅰ：企业成立时间不超过15年，近四年每年总收入不少于1000万元且复合增长率不低于20%，且上一年度年正增长；</w:t>
      </w:r>
    </w:p>
    <w:p>
      <w:pPr>
        <w:adjustRightInd w:val="0"/>
        <w:snapToGrid w:val="0"/>
        <w:spacing w:line="56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Ⅱ：企业成立时间不超过15年，近四年每年雇员总数不少于100人且复合增长率不低于30%，且上一年度正增长；</w:t>
      </w:r>
    </w:p>
    <w:p>
      <w:pPr>
        <w:adjustRightInd w:val="0"/>
        <w:snapToGrid w:val="0"/>
        <w:spacing w:line="56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Ⅲ：企业成立时间不超过5年，且上一年度总收入不低于5亿元，且近三年收入无大幅度下降（下降比例不超过10%）；</w:t>
      </w:r>
    </w:p>
    <w:p>
      <w:pPr>
        <w:adjustRightInd w:val="0"/>
        <w:snapToGrid w:val="0"/>
        <w:spacing w:line="56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Ⅳ：企业成立时间不超过10年，且上一年度总收入不低于10亿元，且近三年收入无大幅度下降（下降比例不超过10%）。</w:t>
      </w:r>
    </w:p>
    <w:p>
      <w:pPr>
        <w:adjustRightInd w:val="0"/>
        <w:snapToGrid w:val="0"/>
        <w:spacing w:line="560" w:lineRule="exact"/>
        <w:ind w:firstLine="643" w:firstLineChars="200"/>
        <w:rPr>
          <w:rFonts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（二）创新门槛指标</w:t>
      </w:r>
    </w:p>
    <w:p>
      <w:pPr>
        <w:adjustRightInd w:val="0"/>
        <w:snapToGrid w:val="0"/>
        <w:spacing w:line="56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入选需满足以下条件之一：</w:t>
      </w:r>
    </w:p>
    <w:p>
      <w:pPr>
        <w:adjustRightInd w:val="0"/>
        <w:snapToGrid w:val="0"/>
        <w:spacing w:line="56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A类：近四年平均研发投入强度（四年研发投入总和/四年收入总和）达到2.5%。</w:t>
      </w:r>
    </w:p>
    <w:p>
      <w:pPr>
        <w:adjustRightInd w:val="0"/>
        <w:snapToGrid w:val="0"/>
        <w:spacing w:line="560" w:lineRule="exact"/>
        <w:ind w:firstLine="640" w:firstLineChars="200"/>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z w:val="32"/>
          <w:szCs w:val="32"/>
          <w14:textFill>
            <w14:solidFill>
              <w14:schemeClr w14:val="tx1"/>
            </w14:solidFill>
          </w14:textFill>
        </w:rPr>
        <w:t>B</w:t>
      </w:r>
      <w:r>
        <w:rPr>
          <w:rFonts w:hint="eastAsia" w:ascii="仿宋" w:hAnsi="仿宋" w:eastAsia="仿宋" w:cs="仿宋"/>
          <w:color w:val="000000" w:themeColor="text1"/>
          <w:sz w:val="32"/>
          <w:szCs w:val="32"/>
          <w14:textFill>
            <w14:solidFill>
              <w14:schemeClr w14:val="tx1"/>
            </w14:solidFill>
          </w14:textFill>
        </w:rPr>
        <w:t>类：筛选条件</w:t>
      </w:r>
      <w:r>
        <w:rPr>
          <w:rFonts w:ascii="仿宋" w:hAnsi="仿宋" w:eastAsia="仿宋" w:cs="仿宋"/>
          <w:color w:val="000000" w:themeColor="text1"/>
          <w:sz w:val="32"/>
          <w:szCs w:val="32"/>
          <w14:textFill>
            <w14:solidFill>
              <w14:schemeClr w14:val="tx1"/>
            </w14:solidFill>
          </w14:textFill>
        </w:rPr>
        <w:t>1：仅有</w:t>
      </w:r>
      <w:r>
        <w:rPr>
          <w:rFonts w:hint="eastAsia" w:ascii="仿宋" w:hAnsi="仿宋" w:eastAsia="仿宋" w:cs="仿宋"/>
          <w:color w:val="000000" w:themeColor="text1"/>
          <w:sz w:val="32"/>
          <w:szCs w:val="32"/>
          <w14:textFill>
            <w14:solidFill>
              <w14:schemeClr w14:val="tx1"/>
            </w14:solidFill>
          </w14:textFill>
        </w:rPr>
        <w:t>上一年度</w:t>
      </w:r>
      <w:r>
        <w:rPr>
          <w:rFonts w:ascii="仿宋" w:hAnsi="仿宋" w:eastAsia="仿宋" w:cs="仿宋"/>
          <w:color w:val="000000" w:themeColor="text1"/>
          <w:sz w:val="32"/>
          <w:szCs w:val="32"/>
          <w14:textFill>
            <w14:solidFill>
              <w14:schemeClr w14:val="tx1"/>
            </w14:solidFill>
          </w14:textFill>
        </w:rPr>
        <w:t>收入数据的企业</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上</w:t>
      </w:r>
      <w:r>
        <w:rPr>
          <w:rFonts w:hint="eastAsia" w:ascii="仿宋" w:hAnsi="仿宋" w:eastAsia="仿宋" w:cs="仿宋"/>
          <w:color w:val="000000" w:themeColor="text1"/>
          <w:sz w:val="32"/>
          <w:szCs w:val="32"/>
          <w:lang w:eastAsia="zh-CN"/>
          <w14:textFill>
            <w14:solidFill>
              <w14:schemeClr w14:val="tx1"/>
            </w14:solidFill>
          </w14:textFill>
        </w:rPr>
        <w:t>一</w:t>
      </w:r>
      <w:r>
        <w:rPr>
          <w:rFonts w:ascii="仿宋" w:hAnsi="仿宋" w:eastAsia="仿宋" w:cs="仿宋"/>
          <w:color w:val="000000" w:themeColor="text1"/>
          <w:sz w:val="32"/>
          <w:szCs w:val="32"/>
          <w14:textFill>
            <w14:solidFill>
              <w14:schemeClr w14:val="tx1"/>
            </w14:solidFill>
          </w14:textFill>
        </w:rPr>
        <w:t>年</w:t>
      </w:r>
      <w:r>
        <w:rPr>
          <w:rFonts w:hint="eastAsia" w:ascii="仿宋" w:hAnsi="仿宋" w:eastAsia="仿宋" w:cs="仿宋"/>
          <w:color w:val="000000" w:themeColor="text1"/>
          <w:sz w:val="32"/>
          <w:szCs w:val="32"/>
          <w:lang w:eastAsia="zh-CN"/>
          <w14:textFill>
            <w14:solidFill>
              <w14:schemeClr w14:val="tx1"/>
            </w14:solidFill>
          </w14:textFill>
        </w:rPr>
        <w:t>度</w:t>
      </w:r>
      <w:r>
        <w:rPr>
          <w:rFonts w:ascii="仿宋" w:hAnsi="仿宋" w:eastAsia="仿宋" w:cs="仿宋"/>
          <w:color w:val="000000" w:themeColor="text1"/>
          <w:sz w:val="32"/>
          <w:szCs w:val="32"/>
          <w14:textFill>
            <w14:solidFill>
              <w14:schemeClr w14:val="tx1"/>
            </w14:solidFill>
          </w14:textFill>
        </w:rPr>
        <w:t>总收入&gt;5亿元且注册时间</w:t>
      </w:r>
      <w:r>
        <w:rPr>
          <w:rFonts w:hint="eastAsia" w:ascii="仿宋" w:hAnsi="仿宋" w:eastAsia="仿宋" w:cs="仿宋"/>
          <w:color w:val="000000" w:themeColor="text1"/>
          <w:sz w:val="32"/>
          <w:szCs w:val="32"/>
          <w14:textFill>
            <w14:solidFill>
              <w14:schemeClr w14:val="tx1"/>
            </w14:solidFill>
          </w14:textFill>
        </w:rPr>
        <w:t>不超过8</w:t>
      </w:r>
      <w:r>
        <w:rPr>
          <w:rFonts w:ascii="仿宋" w:hAnsi="仿宋" w:eastAsia="仿宋" w:cs="仿宋"/>
          <w:color w:val="000000" w:themeColor="text1"/>
          <w:sz w:val="32"/>
          <w:szCs w:val="32"/>
          <w14:textFill>
            <w14:solidFill>
              <w14:schemeClr w14:val="tx1"/>
            </w14:solidFill>
          </w14:textFill>
        </w:rPr>
        <w:t>年；筛选条件2：有效数据两年以上的企业，</w:t>
      </w:r>
      <w:r>
        <w:rPr>
          <w:rFonts w:hint="eastAsia" w:ascii="仿宋" w:hAnsi="仿宋" w:eastAsia="仿宋" w:cs="仿宋"/>
          <w:color w:val="000000" w:themeColor="text1"/>
          <w:sz w:val="32"/>
          <w:szCs w:val="32"/>
          <w14:textFill>
            <w14:solidFill>
              <w14:schemeClr w14:val="tx1"/>
            </w14:solidFill>
          </w14:textFill>
        </w:rPr>
        <w:t>上</w:t>
      </w:r>
      <w:r>
        <w:rPr>
          <w:rFonts w:hint="eastAsia" w:ascii="仿宋" w:hAnsi="仿宋" w:eastAsia="仿宋" w:cs="仿宋"/>
          <w:color w:val="000000" w:themeColor="text1"/>
          <w:sz w:val="32"/>
          <w:szCs w:val="32"/>
          <w:lang w:eastAsia="zh-CN"/>
          <w14:textFill>
            <w14:solidFill>
              <w14:schemeClr w14:val="tx1"/>
            </w14:solidFill>
          </w14:textFill>
        </w:rPr>
        <w:t>一</w:t>
      </w:r>
      <w:r>
        <w:rPr>
          <w:rFonts w:ascii="仿宋" w:hAnsi="仿宋" w:eastAsia="仿宋" w:cs="仿宋"/>
          <w:color w:val="000000" w:themeColor="text1"/>
          <w:sz w:val="32"/>
          <w:szCs w:val="32"/>
          <w14:textFill>
            <w14:solidFill>
              <w14:schemeClr w14:val="tx1"/>
            </w14:solidFill>
          </w14:textFill>
        </w:rPr>
        <w:t>年</w:t>
      </w:r>
      <w:r>
        <w:rPr>
          <w:rFonts w:hint="eastAsia" w:ascii="仿宋" w:hAnsi="仿宋" w:eastAsia="仿宋" w:cs="仿宋"/>
          <w:color w:val="000000" w:themeColor="text1"/>
          <w:sz w:val="32"/>
          <w:szCs w:val="32"/>
          <w:lang w:eastAsia="zh-CN"/>
          <w14:textFill>
            <w14:solidFill>
              <w14:schemeClr w14:val="tx1"/>
            </w14:solidFill>
          </w14:textFill>
        </w:rPr>
        <w:t>度</w:t>
      </w:r>
      <w:r>
        <w:rPr>
          <w:rFonts w:ascii="仿宋" w:hAnsi="仿宋" w:eastAsia="仿宋" w:cs="仿宋"/>
          <w:color w:val="000000" w:themeColor="text1"/>
          <w:sz w:val="32"/>
          <w:szCs w:val="32"/>
          <w14:textFill>
            <w14:solidFill>
              <w14:schemeClr w14:val="tx1"/>
            </w14:solidFill>
          </w14:textFill>
        </w:rPr>
        <w:t>总收入&gt;1亿元</w:t>
      </w:r>
      <w:r>
        <w:rPr>
          <w:rFonts w:hint="eastAsia" w:ascii="仿宋" w:hAnsi="仿宋" w:eastAsia="仿宋" w:cs="仿宋"/>
          <w:color w:val="000000" w:themeColor="text1"/>
          <w:sz w:val="32"/>
          <w:szCs w:val="32"/>
          <w14:textFill>
            <w14:solidFill>
              <w14:schemeClr w14:val="tx1"/>
            </w14:solidFill>
          </w14:textFill>
        </w:rPr>
        <w:t>且两年</w:t>
      </w:r>
      <w:r>
        <w:rPr>
          <w:rFonts w:ascii="仿宋" w:hAnsi="仿宋" w:eastAsia="仿宋" w:cs="仿宋"/>
          <w:color w:val="000000" w:themeColor="text1"/>
          <w:sz w:val="32"/>
          <w:szCs w:val="32"/>
          <w14:textFill>
            <w14:solidFill>
              <w14:schemeClr w14:val="tx1"/>
            </w14:solidFill>
          </w14:textFill>
        </w:rPr>
        <w:t>复合增长率&gt;30%。</w:t>
      </w:r>
      <w:bookmarkStart w:id="3" w:name="_GoBack"/>
      <w:bookmarkEnd w:id="3"/>
    </w:p>
    <w:p>
      <w:pPr>
        <w:adjustRightInd w:val="0"/>
        <w:snapToGrid w:val="0"/>
        <w:spacing w:line="560" w:lineRule="exact"/>
        <w:jc w:val="center"/>
        <w:rPr>
          <w:rStyle w:val="10"/>
          <w:rFonts w:ascii="黑体" w:hAnsi="黑体" w:eastAsia="黑体" w:cs="黑体"/>
          <w:b w:val="0"/>
          <w:color w:val="000000" w:themeColor="text1"/>
          <w:sz w:val="32"/>
          <w:szCs w:val="32"/>
          <w:shd w:val="clear" w:color="auto" w:fill="FFFFFF"/>
          <w14:textFill>
            <w14:solidFill>
              <w14:schemeClr w14:val="tx1"/>
            </w14:solidFill>
          </w14:textFill>
        </w:rPr>
      </w:pPr>
      <w:r>
        <w:rPr>
          <w:rStyle w:val="10"/>
          <w:rFonts w:ascii="黑体" w:hAnsi="黑体" w:eastAsia="黑体" w:cs="黑体"/>
          <w:b w:val="0"/>
          <w:color w:val="000000" w:themeColor="text1"/>
          <w:sz w:val="32"/>
          <w:szCs w:val="32"/>
          <w:shd w:val="clear" w:color="auto" w:fill="FFFFFF"/>
          <w14:textFill>
            <w14:solidFill>
              <w14:schemeClr w14:val="tx1"/>
            </w14:solidFill>
          </w14:textFill>
        </w:rPr>
        <w:t>第三章  认定程序</w:t>
      </w:r>
    </w:p>
    <w:p>
      <w:pPr>
        <w:adjustRightInd w:val="0"/>
        <w:snapToGrid w:val="0"/>
        <w:spacing w:line="560" w:lineRule="exact"/>
        <w:ind w:firstLine="643" w:firstLineChars="20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楷体" w:hAnsi="楷体" w:eastAsia="楷体" w:cs="楷体"/>
          <w:b/>
          <w:bCs/>
          <w:color w:val="000000" w:themeColor="text1"/>
          <w:sz w:val="32"/>
          <w:szCs w:val="32"/>
          <w:shd w:val="clear" w:color="auto" w:fill="FFFFFF"/>
          <w14:textFill>
            <w14:solidFill>
              <w14:schemeClr w14:val="tx1"/>
            </w14:solidFill>
          </w14:textFill>
        </w:rPr>
        <w:t>第六条</w:t>
      </w:r>
      <w:r>
        <w:rPr>
          <w:rFonts w:hint="eastAsia" w:ascii="仿宋" w:hAnsi="仿宋" w:eastAsia="仿宋" w:cs="仿宋"/>
          <w:color w:val="000000" w:themeColor="text1"/>
          <w:sz w:val="32"/>
          <w:szCs w:val="32"/>
          <w:shd w:val="clear" w:color="auto" w:fill="FFFFFF"/>
          <w14:textFill>
            <w14:solidFill>
              <w14:schemeClr w14:val="tx1"/>
            </w14:solidFill>
          </w14:textFill>
        </w:rPr>
        <w:t xml:space="preserve"> 佛山高新区瞪羚企业认定采取企业自愿申报、认定工作机构初步审核、佛山高新区管委会最终审定的方式进行。</w:t>
      </w:r>
    </w:p>
    <w:p>
      <w:pPr>
        <w:adjustRightInd w:val="0"/>
        <w:snapToGrid w:val="0"/>
        <w:spacing w:line="560" w:lineRule="exact"/>
        <w:ind w:firstLine="643" w:firstLineChars="200"/>
        <w:rPr>
          <w:rFonts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（一）申报</w:t>
      </w:r>
    </w:p>
    <w:p>
      <w:pPr>
        <w:adjustRightInd w:val="0"/>
        <w:snapToGrid w:val="0"/>
        <w:spacing w:line="56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申报企业注册并登陆“佛山瞪羚企业服务平台”（http://fs.chinagazelle.cn/cognizance/list）进行登录申报，在线提出申请，填写并线上提交申报材料，资料审核通过后完成申报。</w:t>
      </w:r>
    </w:p>
    <w:p>
      <w:pPr>
        <w:adjustRightInd w:val="0"/>
        <w:snapToGrid w:val="0"/>
        <w:spacing w:line="560" w:lineRule="exact"/>
        <w:ind w:firstLine="643" w:firstLineChars="200"/>
        <w:rPr>
          <w:rFonts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（二）遴选</w:t>
      </w:r>
    </w:p>
    <w:p>
      <w:pPr>
        <w:adjustRightInd w:val="0"/>
        <w:snapToGrid w:val="0"/>
        <w:spacing w:line="56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佛山高新区委托长城战略咨询进行企业筛选和评价等工作。长城战略咨询根据认定条件和认定要求，对企业进行资格审查，并提出符合条件的企业名单。</w:t>
      </w:r>
    </w:p>
    <w:p>
      <w:pPr>
        <w:adjustRightInd w:val="0"/>
        <w:snapToGrid w:val="0"/>
        <w:spacing w:line="560" w:lineRule="exact"/>
        <w:ind w:firstLine="643" w:firstLineChars="200"/>
        <w:rPr>
          <w:rFonts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（三）审议</w:t>
      </w:r>
    </w:p>
    <w:p>
      <w:pPr>
        <w:adjustRightInd w:val="0"/>
        <w:snapToGrid w:val="0"/>
        <w:spacing w:line="56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佛山高新区管委会办公会议</w:t>
      </w:r>
      <w:r>
        <w:rPr>
          <w:rFonts w:hint="eastAsia" w:ascii="仿宋" w:hAnsi="仿宋" w:eastAsia="仿宋" w:cs="仿宋"/>
          <w:color w:val="000000" w:themeColor="text1"/>
          <w:sz w:val="32"/>
          <w:szCs w:val="32"/>
          <w:shd w:val="clear" w:color="auto" w:fill="FFFFFF"/>
          <w14:textFill>
            <w14:solidFill>
              <w14:schemeClr w14:val="tx1"/>
            </w14:solidFill>
          </w14:textFill>
        </w:rPr>
        <w:t>讨论研究最终认定审核意见，初步确定“瞪羚企业”名单。</w:t>
      </w:r>
    </w:p>
    <w:p>
      <w:pPr>
        <w:adjustRightInd w:val="0"/>
        <w:snapToGrid w:val="0"/>
        <w:spacing w:line="560" w:lineRule="exact"/>
        <w:ind w:firstLine="643" w:firstLineChars="200"/>
        <w:rPr>
          <w:rFonts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（四）公布</w:t>
      </w:r>
    </w:p>
    <w:p>
      <w:pPr>
        <w:adjustRightInd w:val="0"/>
        <w:snapToGrid w:val="0"/>
        <w:spacing w:line="56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将初步确定的“瞪羚企业”名单</w:t>
      </w:r>
      <w:r>
        <w:rPr>
          <w:rFonts w:hint="eastAsia" w:ascii="仿宋" w:hAnsi="仿宋" w:eastAsia="仿宋" w:cs="仿宋"/>
          <w:color w:val="000000" w:themeColor="text1"/>
          <w:sz w:val="32"/>
          <w:szCs w:val="32"/>
          <w14:textFill>
            <w14:solidFill>
              <w14:schemeClr w14:val="tx1"/>
            </w14:solidFill>
          </w14:textFill>
        </w:rPr>
        <w:t>在佛山高新区官方网站上进行公示，公示无异议后对外公开发布。</w:t>
      </w:r>
    </w:p>
    <w:p>
      <w:pPr>
        <w:adjustRightInd w:val="0"/>
        <w:snapToGrid w:val="0"/>
        <w:spacing w:line="560" w:lineRule="exact"/>
        <w:ind w:firstLine="643" w:firstLineChars="200"/>
        <w:rPr>
          <w:rFonts w:ascii="仿宋" w:hAnsi="仿宋" w:eastAsia="仿宋" w:cs="仿宋"/>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shd w:val="clear" w:color="auto" w:fill="FFFFFF"/>
          <w14:textFill>
            <w14:solidFill>
              <w14:schemeClr w14:val="tx1"/>
            </w14:solidFill>
          </w14:textFill>
        </w:rPr>
        <w:t>第七条</w:t>
      </w:r>
      <w:r>
        <w:rPr>
          <w:rFonts w:hint="eastAsia" w:ascii="仿宋" w:hAnsi="仿宋" w:eastAsia="仿宋" w:cs="仿宋"/>
          <w:color w:val="000000" w:themeColor="text1"/>
          <w:sz w:val="32"/>
          <w:szCs w:val="32"/>
          <w:shd w:val="clear" w:color="auto" w:fill="FFFFFF"/>
          <w14:textFill>
            <w14:solidFill>
              <w14:schemeClr w14:val="tx1"/>
            </w14:solidFill>
          </w14:textFill>
        </w:rPr>
        <w:t xml:space="preserve"> 材料包括但不限于以下内容：</w:t>
      </w:r>
    </w:p>
    <w:p>
      <w:pPr>
        <w:pStyle w:val="8"/>
        <w:widowControl/>
        <w:shd w:val="clear" w:color="auto" w:fill="FFFFFF"/>
        <w:adjustRightInd w:val="0"/>
        <w:snapToGrid w:val="0"/>
        <w:spacing w:beforeAutospacing="0" w:afterAutospacing="0" w:line="560" w:lineRule="exact"/>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 xml:space="preserve">    （一）佛山高新区瞪羚企业认定申报书（附件）；</w:t>
      </w:r>
    </w:p>
    <w:p>
      <w:pPr>
        <w:pStyle w:val="8"/>
        <w:widowControl/>
        <w:shd w:val="clear" w:color="auto" w:fill="FFFFFF"/>
        <w:adjustRightInd w:val="0"/>
        <w:snapToGrid w:val="0"/>
        <w:spacing w:beforeAutospacing="0" w:afterAutospacing="0" w:line="560" w:lineRule="exact"/>
        <w:ind w:firstLine="570"/>
        <w:jc w:val="both"/>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（二）企业情况介绍，主要内容为企业基本情况、主要产品、行业竞争力、发展规划等；</w:t>
      </w:r>
    </w:p>
    <w:p>
      <w:pPr>
        <w:pStyle w:val="8"/>
        <w:widowControl/>
        <w:shd w:val="clear" w:color="auto" w:fill="FFFFFF"/>
        <w:adjustRightInd w:val="0"/>
        <w:snapToGrid w:val="0"/>
        <w:spacing w:beforeAutospacing="0" w:afterAutospacing="0" w:line="560" w:lineRule="exact"/>
        <w:ind w:firstLine="570"/>
        <w:jc w:val="both"/>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（三）企业营业执照、组织机构代码证、税务登记证的副本扫描件；</w:t>
      </w:r>
    </w:p>
    <w:p>
      <w:pPr>
        <w:pStyle w:val="8"/>
        <w:widowControl/>
        <w:shd w:val="clear" w:color="auto" w:fill="FFFFFF"/>
        <w:adjustRightInd w:val="0"/>
        <w:snapToGrid w:val="0"/>
        <w:spacing w:beforeAutospacing="0" w:afterAutospacing="0" w:line="560" w:lineRule="exact"/>
        <w:ind w:firstLine="570"/>
        <w:jc w:val="both"/>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（四）经审计的企业近4年财务报表；</w:t>
      </w:r>
    </w:p>
    <w:p>
      <w:pPr>
        <w:pStyle w:val="8"/>
        <w:widowControl/>
        <w:shd w:val="clear" w:color="auto" w:fill="FFFFFF"/>
        <w:adjustRightInd w:val="0"/>
        <w:snapToGrid w:val="0"/>
        <w:spacing w:beforeAutospacing="0" w:afterAutospacing="0" w:line="560" w:lineRule="exact"/>
        <w:ind w:firstLine="57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（五）其他证明材料。</w:t>
      </w:r>
    </w:p>
    <w:p>
      <w:pPr>
        <w:adjustRightInd w:val="0"/>
        <w:snapToGrid w:val="0"/>
        <w:spacing w:line="560" w:lineRule="exact"/>
        <w:jc w:val="center"/>
        <w:rPr>
          <w:rStyle w:val="10"/>
          <w:rFonts w:ascii="黑体" w:hAnsi="黑体" w:eastAsia="黑体" w:cs="黑体"/>
          <w:b w:val="0"/>
          <w:bCs/>
          <w:color w:val="000000" w:themeColor="text1"/>
          <w:sz w:val="32"/>
          <w:szCs w:val="32"/>
          <w:shd w:val="clear" w:color="auto" w:fill="FFFFFF"/>
          <w14:textFill>
            <w14:solidFill>
              <w14:schemeClr w14:val="tx1"/>
            </w14:solidFill>
          </w14:textFill>
        </w:rPr>
      </w:pPr>
      <w:r>
        <w:rPr>
          <w:rStyle w:val="10"/>
          <w:rFonts w:ascii="黑体" w:hAnsi="黑体" w:eastAsia="黑体" w:cs="黑体"/>
          <w:b w:val="0"/>
          <w:color w:val="000000" w:themeColor="text1"/>
          <w:sz w:val="32"/>
          <w:szCs w:val="32"/>
          <w:shd w:val="clear" w:color="auto" w:fill="FFFFFF"/>
          <w14:textFill>
            <w14:solidFill>
              <w14:schemeClr w14:val="tx1"/>
            </w14:solidFill>
          </w14:textFill>
        </w:rPr>
        <w:t>第四章</w:t>
      </w:r>
      <w:r>
        <w:rPr>
          <w:rStyle w:val="10"/>
          <w:rFonts w:hint="eastAsia" w:ascii="黑体" w:hAnsi="黑体" w:eastAsia="黑体" w:cs="黑体"/>
          <w:b w:val="0"/>
          <w:color w:val="000000" w:themeColor="text1"/>
          <w:sz w:val="32"/>
          <w:szCs w:val="32"/>
          <w:shd w:val="clear" w:color="auto" w:fill="FFFFFF"/>
          <w14:textFill>
            <w14:solidFill>
              <w14:schemeClr w14:val="tx1"/>
            </w14:solidFill>
          </w14:textFill>
        </w:rPr>
        <w:t xml:space="preserve"> </w:t>
      </w:r>
      <w:r>
        <w:rPr>
          <w:rStyle w:val="10"/>
          <w:rFonts w:ascii="黑体" w:hAnsi="黑体" w:eastAsia="黑体" w:cs="黑体"/>
          <w:b w:val="0"/>
          <w:color w:val="000000" w:themeColor="text1"/>
          <w:sz w:val="32"/>
          <w:szCs w:val="32"/>
          <w:shd w:val="clear" w:color="auto" w:fill="FFFFFF"/>
          <w14:textFill>
            <w14:solidFill>
              <w14:schemeClr w14:val="tx1"/>
            </w14:solidFill>
          </w14:textFill>
        </w:rPr>
        <w:t xml:space="preserve"> </w:t>
      </w:r>
      <w:r>
        <w:rPr>
          <w:rStyle w:val="10"/>
          <w:rFonts w:ascii="黑体" w:hAnsi="黑体" w:eastAsia="黑体" w:cs="黑体"/>
          <w:b w:val="0"/>
          <w:bCs/>
          <w:color w:val="000000" w:themeColor="text1"/>
          <w:sz w:val="32"/>
          <w:szCs w:val="32"/>
          <w:shd w:val="clear" w:color="auto" w:fill="FFFFFF"/>
          <w14:textFill>
            <w14:solidFill>
              <w14:schemeClr w14:val="tx1"/>
            </w14:solidFill>
          </w14:textFill>
        </w:rPr>
        <w:t>扶持政策</w:t>
      </w:r>
    </w:p>
    <w:bookmarkEnd w:id="0"/>
    <w:p>
      <w:pPr>
        <w:adjustRightInd w:val="0"/>
        <w:snapToGrid w:val="0"/>
        <w:spacing w:line="560" w:lineRule="exact"/>
        <w:ind w:firstLine="643" w:firstLineChars="200"/>
        <w:rPr>
          <w:rFonts w:ascii="楷体" w:hAnsi="楷体" w:eastAsia="楷体" w:cs="楷体"/>
          <w:b/>
          <w:bCs/>
          <w:color w:val="000000" w:themeColor="text1"/>
          <w:sz w:val="32"/>
          <w:szCs w:val="32"/>
          <w:shd w:val="clear" w:color="auto" w:fill="FFFFFF"/>
          <w14:textFill>
            <w14:solidFill>
              <w14:schemeClr w14:val="tx1"/>
            </w14:solidFill>
          </w14:textFill>
        </w:rPr>
      </w:pPr>
      <w:r>
        <w:rPr>
          <w:rFonts w:hint="eastAsia" w:ascii="楷体" w:hAnsi="楷体" w:eastAsia="楷体" w:cs="楷体"/>
          <w:b/>
          <w:bCs/>
          <w:color w:val="000000" w:themeColor="text1"/>
          <w:sz w:val="32"/>
          <w:szCs w:val="32"/>
          <w:shd w:val="clear" w:color="auto" w:fill="FFFFFF"/>
          <w14:textFill>
            <w14:solidFill>
              <w14:schemeClr w14:val="tx1"/>
            </w14:solidFill>
          </w14:textFill>
        </w:rPr>
        <w:t>第八条 加强企业认定奖励</w:t>
      </w:r>
    </w:p>
    <w:p>
      <w:pPr>
        <w:adjustRightInd w:val="0"/>
        <w:snapToGrid w:val="0"/>
        <w:spacing w:line="56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对首次通过佛山高新区“瞪羚企业”认定的，给予25万元一次性资金奖励；对于认定的瞪羚企业，政策有效期内首次入选北京市长城企业战略研究所发布的独角兽企业榜单，一次性给予1</w:t>
      </w:r>
      <w:r>
        <w:rPr>
          <w:rFonts w:ascii="仿宋" w:hAnsi="仿宋" w:eastAsia="仿宋" w:cs="仿宋"/>
          <w:color w:val="000000" w:themeColor="text1"/>
          <w:sz w:val="32"/>
          <w:szCs w:val="32"/>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0万元的额外奖励。</w:t>
      </w:r>
    </w:p>
    <w:p>
      <w:pPr>
        <w:adjustRightInd w:val="0"/>
        <w:snapToGrid w:val="0"/>
        <w:spacing w:line="560" w:lineRule="exact"/>
        <w:ind w:firstLine="643" w:firstLineChars="200"/>
        <w:rPr>
          <w:rFonts w:ascii="楷体" w:hAnsi="楷体" w:eastAsia="楷体" w:cs="楷体"/>
          <w:b/>
          <w:bCs/>
          <w:color w:val="000000" w:themeColor="text1"/>
          <w:sz w:val="32"/>
          <w:szCs w:val="32"/>
          <w:shd w:val="clear" w:color="auto" w:fill="FFFFFF"/>
          <w14:textFill>
            <w14:solidFill>
              <w14:schemeClr w14:val="tx1"/>
            </w14:solidFill>
          </w14:textFill>
        </w:rPr>
      </w:pPr>
      <w:r>
        <w:rPr>
          <w:rFonts w:hint="eastAsia" w:ascii="楷体" w:hAnsi="楷体" w:eastAsia="楷体" w:cs="楷体"/>
          <w:b/>
          <w:bCs/>
          <w:color w:val="000000" w:themeColor="text1"/>
          <w:sz w:val="32"/>
          <w:szCs w:val="32"/>
          <w:shd w:val="clear" w:color="auto" w:fill="FFFFFF"/>
          <w14:textFill>
            <w14:solidFill>
              <w14:schemeClr w14:val="tx1"/>
            </w14:solidFill>
          </w14:textFill>
        </w:rPr>
        <w:t>第九条 提升企业引智聚才</w:t>
      </w:r>
    </w:p>
    <w:p>
      <w:pPr>
        <w:adjustRightInd w:val="0"/>
        <w:snapToGrid w:val="0"/>
        <w:spacing w:line="56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认定有效期内，瞪羚企业的非本地户籍员工子女申请入读佛山高新区义务教育阶段公办学校，享受与户籍生同等的待遇，按照认定上一年度瞪羚企业的纳税额分配指标：纳税额</w:t>
      </w:r>
      <w:r>
        <w:rPr>
          <w:rFonts w:ascii="仿宋" w:hAnsi="仿宋" w:eastAsia="仿宋" w:cs="仿宋"/>
          <w:color w:val="000000" w:themeColor="text1"/>
          <w:sz w:val="32"/>
          <w:szCs w:val="32"/>
          <w14:textFill>
            <w14:solidFill>
              <w14:schemeClr w14:val="tx1"/>
            </w14:solidFill>
          </w14:textFill>
        </w:rPr>
        <w:t>&lt;</w:t>
      </w:r>
      <w:r>
        <w:rPr>
          <w:rFonts w:hint="eastAsia" w:ascii="仿宋" w:hAnsi="仿宋" w:eastAsia="仿宋" w:cs="仿宋"/>
          <w:color w:val="000000" w:themeColor="text1"/>
          <w:sz w:val="32"/>
          <w:szCs w:val="32"/>
          <w14:textFill>
            <w14:solidFill>
              <w14:schemeClr w14:val="tx1"/>
            </w14:solidFill>
          </w14:textFill>
        </w:rPr>
        <w:t>1</w:t>
      </w:r>
      <w:r>
        <w:rPr>
          <w:rFonts w:ascii="仿宋" w:hAnsi="仿宋" w:eastAsia="仿宋" w:cs="仿宋"/>
          <w:color w:val="000000" w:themeColor="text1"/>
          <w:sz w:val="32"/>
          <w:szCs w:val="32"/>
          <w14:textFill>
            <w14:solidFill>
              <w14:schemeClr w14:val="tx1"/>
            </w14:solidFill>
          </w14:textFill>
        </w:rPr>
        <w:t>000</w:t>
      </w:r>
      <w:r>
        <w:rPr>
          <w:rFonts w:hint="eastAsia" w:ascii="仿宋" w:hAnsi="仿宋" w:eastAsia="仿宋" w:cs="仿宋"/>
          <w:color w:val="000000" w:themeColor="text1"/>
          <w:sz w:val="32"/>
          <w:szCs w:val="32"/>
          <w14:textFill>
            <w14:solidFill>
              <w14:schemeClr w14:val="tx1"/>
            </w14:solidFill>
          </w14:textFill>
        </w:rPr>
        <w:t>万元的瞪羚企业，每家最多分配</w:t>
      </w:r>
      <w:r>
        <w:rPr>
          <w:rFonts w:ascii="仿宋" w:hAnsi="仿宋" w:eastAsia="仿宋" w:cs="仿宋"/>
          <w:color w:val="000000" w:themeColor="text1"/>
          <w:sz w:val="32"/>
          <w:szCs w:val="32"/>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个指标；纳税额1</w:t>
      </w:r>
      <w:r>
        <w:rPr>
          <w:rFonts w:ascii="仿宋" w:hAnsi="仿宋" w:eastAsia="仿宋" w:cs="仿宋"/>
          <w:color w:val="000000" w:themeColor="text1"/>
          <w:sz w:val="32"/>
          <w:szCs w:val="32"/>
          <w14:textFill>
            <w14:solidFill>
              <w14:schemeClr w14:val="tx1"/>
            </w14:solidFill>
          </w14:textFill>
        </w:rPr>
        <w:t>000</w:t>
      </w:r>
      <w:r>
        <w:rPr>
          <w:rFonts w:hint="eastAsia" w:ascii="仿宋" w:hAnsi="仿宋" w:eastAsia="仿宋" w:cs="仿宋"/>
          <w:color w:val="000000" w:themeColor="text1"/>
          <w:sz w:val="32"/>
          <w:szCs w:val="32"/>
          <w14:textFill>
            <w14:solidFill>
              <w14:schemeClr w14:val="tx1"/>
            </w14:solidFill>
          </w14:textFill>
        </w:rPr>
        <w:t>万元</w:t>
      </w:r>
      <w:r>
        <w:rPr>
          <w:rFonts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纳税额</w:t>
      </w:r>
      <w:r>
        <w:rPr>
          <w:rFonts w:ascii="仿宋" w:hAnsi="仿宋" w:eastAsia="仿宋" w:cs="仿宋"/>
          <w:color w:val="000000" w:themeColor="text1"/>
          <w:sz w:val="32"/>
          <w:szCs w:val="32"/>
          <w14:textFill>
            <w14:solidFill>
              <w14:schemeClr w14:val="tx1"/>
            </w14:solidFill>
          </w14:textFill>
        </w:rPr>
        <w:t>&lt;</w:t>
      </w:r>
      <w:r>
        <w:rPr>
          <w:rFonts w:hint="eastAsia" w:ascii="仿宋" w:hAnsi="仿宋" w:eastAsia="仿宋" w:cs="仿宋"/>
          <w:color w:val="000000" w:themeColor="text1"/>
          <w:sz w:val="32"/>
          <w:szCs w:val="32"/>
          <w14:textFill>
            <w14:solidFill>
              <w14:schemeClr w14:val="tx1"/>
            </w14:solidFill>
          </w14:textFill>
        </w:rPr>
        <w:t>5</w:t>
      </w:r>
      <w:r>
        <w:rPr>
          <w:rFonts w:ascii="仿宋" w:hAnsi="仿宋" w:eastAsia="仿宋" w:cs="仿宋"/>
          <w:color w:val="000000" w:themeColor="text1"/>
          <w:sz w:val="32"/>
          <w:szCs w:val="32"/>
          <w14:textFill>
            <w14:solidFill>
              <w14:schemeClr w14:val="tx1"/>
            </w14:solidFill>
          </w14:textFill>
        </w:rPr>
        <w:t>000</w:t>
      </w:r>
      <w:r>
        <w:rPr>
          <w:rFonts w:hint="eastAsia" w:ascii="仿宋" w:hAnsi="仿宋" w:eastAsia="仿宋" w:cs="仿宋"/>
          <w:color w:val="000000" w:themeColor="text1"/>
          <w:sz w:val="32"/>
          <w:szCs w:val="32"/>
          <w14:textFill>
            <w14:solidFill>
              <w14:schemeClr w14:val="tx1"/>
            </w14:solidFill>
          </w14:textFill>
        </w:rPr>
        <w:t>万元的瞪羚企业，每家最多分配</w:t>
      </w:r>
      <w:r>
        <w:rPr>
          <w:rFonts w:ascii="仿宋" w:hAnsi="仿宋" w:eastAsia="仿宋" w:cs="仿宋"/>
          <w:color w:val="000000" w:themeColor="text1"/>
          <w:sz w:val="32"/>
          <w:szCs w:val="32"/>
          <w14:textFill>
            <w14:solidFill>
              <w14:schemeClr w14:val="tx1"/>
            </w14:solidFill>
          </w14:textFill>
        </w:rPr>
        <w:t>6</w:t>
      </w:r>
      <w:r>
        <w:rPr>
          <w:rFonts w:hint="eastAsia" w:ascii="仿宋" w:hAnsi="仿宋" w:eastAsia="仿宋" w:cs="仿宋"/>
          <w:color w:val="000000" w:themeColor="text1"/>
          <w:sz w:val="32"/>
          <w:szCs w:val="32"/>
          <w14:textFill>
            <w14:solidFill>
              <w14:schemeClr w14:val="tx1"/>
            </w14:solidFill>
          </w14:textFill>
        </w:rPr>
        <w:t>个指标；纳税额≥5</w:t>
      </w:r>
      <w:r>
        <w:rPr>
          <w:rFonts w:ascii="仿宋" w:hAnsi="仿宋" w:eastAsia="仿宋" w:cs="仿宋"/>
          <w:color w:val="000000" w:themeColor="text1"/>
          <w:sz w:val="32"/>
          <w:szCs w:val="32"/>
          <w14:textFill>
            <w14:solidFill>
              <w14:schemeClr w14:val="tx1"/>
            </w14:solidFill>
          </w14:textFill>
        </w:rPr>
        <w:t>000</w:t>
      </w:r>
      <w:r>
        <w:rPr>
          <w:rFonts w:hint="eastAsia" w:ascii="仿宋" w:hAnsi="仿宋" w:eastAsia="仿宋" w:cs="仿宋"/>
          <w:color w:val="000000" w:themeColor="text1"/>
          <w:sz w:val="32"/>
          <w:szCs w:val="32"/>
          <w14:textFill>
            <w14:solidFill>
              <w14:schemeClr w14:val="tx1"/>
            </w14:solidFill>
          </w14:textFill>
        </w:rPr>
        <w:t>万元的瞪羚企业，每家最多分配1</w:t>
      </w:r>
      <w:r>
        <w:rPr>
          <w:rFonts w:ascii="仿宋" w:hAnsi="仿宋" w:eastAsia="仿宋" w:cs="仿宋"/>
          <w:color w:val="000000" w:themeColor="text1"/>
          <w:sz w:val="32"/>
          <w:szCs w:val="32"/>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个指标。</w:t>
      </w:r>
    </w:p>
    <w:p>
      <w:pPr>
        <w:adjustRightInd w:val="0"/>
        <w:snapToGrid w:val="0"/>
        <w:spacing w:line="560" w:lineRule="exact"/>
        <w:ind w:firstLine="643" w:firstLineChars="200"/>
        <w:rPr>
          <w:rFonts w:ascii="楷体" w:hAnsi="楷体" w:eastAsia="楷体" w:cs="楷体"/>
          <w:b/>
          <w:bCs/>
          <w:color w:val="000000" w:themeColor="text1"/>
          <w:sz w:val="32"/>
          <w:szCs w:val="32"/>
          <w:shd w:val="clear" w:color="auto" w:fill="FFFFFF"/>
          <w14:textFill>
            <w14:solidFill>
              <w14:schemeClr w14:val="tx1"/>
            </w14:solidFill>
          </w14:textFill>
        </w:rPr>
      </w:pPr>
      <w:r>
        <w:rPr>
          <w:rFonts w:hint="eastAsia" w:ascii="楷体" w:hAnsi="楷体" w:eastAsia="楷体" w:cs="楷体"/>
          <w:b/>
          <w:bCs/>
          <w:color w:val="000000" w:themeColor="text1"/>
          <w:sz w:val="32"/>
          <w:szCs w:val="32"/>
          <w:shd w:val="clear" w:color="auto" w:fill="FFFFFF"/>
          <w14:textFill>
            <w14:solidFill>
              <w14:schemeClr w14:val="tx1"/>
            </w14:solidFill>
          </w14:textFill>
        </w:rPr>
        <w:t>第十条 推进企业技术创新建设</w:t>
      </w:r>
    </w:p>
    <w:p>
      <w:pPr>
        <w:adjustRightInd w:val="0"/>
        <w:snapToGrid w:val="0"/>
        <w:spacing w:line="56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（一）对于认定的瞪羚企业按本年认定的研发投入总额的20%额外奖励，最高不超过60万元。</w:t>
      </w:r>
    </w:p>
    <w:p>
      <w:pPr>
        <w:adjustRightInd w:val="0"/>
        <w:snapToGrid w:val="0"/>
        <w:spacing w:line="560" w:lineRule="exact"/>
        <w:ind w:firstLine="640" w:firstLineChars="200"/>
        <w:rPr>
          <w:rFonts w:ascii="仿宋" w:hAnsi="仿宋" w:eastAsia="仿宋" w:cs="仿宋"/>
          <w:i/>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为了推进企业智能化升级，对于认定的瞪羚企业，被评选为佛山市机器人应用示范项目的企业，给予50万元的一次性额外资金奖励；在获得佛山市机器人应用示范企业基础上，又获得国家工信部智能制造试点示范立项批复的瞪羚企业，再次给予30万元的一次性资金奖励。</w:t>
      </w:r>
    </w:p>
    <w:p>
      <w:pPr>
        <w:adjustRightInd w:val="0"/>
        <w:snapToGrid w:val="0"/>
        <w:spacing w:line="56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（三）鼓励符合战略新兴产业发展方向的瞪羚企业转化或应用国内外高校、科研院所的科技创新成果，对成果交易受让企业给予首次成果交易费用10%的资金补贴，最高不超过20万元。</w:t>
      </w:r>
    </w:p>
    <w:p>
      <w:pPr>
        <w:adjustRightInd w:val="0"/>
        <w:snapToGrid w:val="0"/>
        <w:spacing w:line="560" w:lineRule="exact"/>
        <w:ind w:firstLine="643" w:firstLineChars="200"/>
        <w:rPr>
          <w:rFonts w:ascii="楷体" w:hAnsi="楷体" w:eastAsia="楷体" w:cs="楷体"/>
          <w:b/>
          <w:bCs/>
          <w:color w:val="000000" w:themeColor="text1"/>
          <w:sz w:val="32"/>
          <w:szCs w:val="32"/>
          <w:shd w:val="clear" w:color="auto" w:fill="FFFFFF"/>
          <w14:textFill>
            <w14:solidFill>
              <w14:schemeClr w14:val="tx1"/>
            </w14:solidFill>
          </w14:textFill>
        </w:rPr>
      </w:pPr>
      <w:r>
        <w:rPr>
          <w:rFonts w:hint="eastAsia" w:ascii="楷体" w:hAnsi="楷体" w:eastAsia="楷体" w:cs="楷体"/>
          <w:b/>
          <w:bCs/>
          <w:color w:val="000000" w:themeColor="text1"/>
          <w:sz w:val="32"/>
          <w:szCs w:val="32"/>
          <w:shd w:val="clear" w:color="auto" w:fill="FFFFFF"/>
          <w14:textFill>
            <w14:solidFill>
              <w14:schemeClr w14:val="tx1"/>
            </w14:solidFill>
          </w14:textFill>
        </w:rPr>
        <w:t>第十一条 创新融资政策支持</w:t>
      </w:r>
    </w:p>
    <w:p>
      <w:pPr>
        <w:adjustRightInd w:val="0"/>
        <w:snapToGrid w:val="0"/>
        <w:spacing w:line="56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鼓励瞪羚企业拓宽融资方式，促进企业获得风险投资，按瞪羚企业首轮融资额的3%给予风险投资管理机构奖励，单个风险投资项目扶持资金总额不超过30万元；对获得风险投资机构投资的瞪羚企业，按首轮融资额的5%给予瞪羚企业奖励，单个风险投资项目扶持资金总额不超过50万元。</w:t>
      </w:r>
    </w:p>
    <w:p>
      <w:pPr>
        <w:adjustRightInd w:val="0"/>
        <w:snapToGrid w:val="0"/>
        <w:spacing w:line="56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设立企业融资专项资金，用以企业融资补贴。对当年度认定的瞪羚企业予以银行贷款贴息支持，补贴金额为企业在认定当年支付银行贷款利息总额的30%，瞪羚企业在本办法实行期内贴息额最高不超过30万元。</w:t>
      </w:r>
    </w:p>
    <w:p>
      <w:pPr>
        <w:adjustRightInd w:val="0"/>
        <w:snapToGrid w:val="0"/>
        <w:spacing w:line="560" w:lineRule="exact"/>
        <w:ind w:firstLine="643" w:firstLineChars="200"/>
        <w:rPr>
          <w:rFonts w:ascii="楷体" w:hAnsi="楷体" w:eastAsia="楷体" w:cs="楷体"/>
          <w:b/>
          <w:bCs/>
          <w:color w:val="000000" w:themeColor="text1"/>
          <w:sz w:val="32"/>
          <w:szCs w:val="32"/>
          <w:shd w:val="clear" w:color="auto" w:fill="FFFFFF"/>
          <w14:textFill>
            <w14:solidFill>
              <w14:schemeClr w14:val="tx1"/>
            </w14:solidFill>
          </w14:textFill>
        </w:rPr>
      </w:pPr>
      <w:r>
        <w:rPr>
          <w:rFonts w:hint="eastAsia" w:ascii="楷体" w:hAnsi="楷体" w:eastAsia="楷体" w:cs="楷体"/>
          <w:b/>
          <w:bCs/>
          <w:color w:val="000000" w:themeColor="text1"/>
          <w:sz w:val="32"/>
          <w:szCs w:val="32"/>
          <w:shd w:val="clear" w:color="auto" w:fill="FFFFFF"/>
          <w14:textFill>
            <w14:solidFill>
              <w14:schemeClr w14:val="tx1"/>
            </w14:solidFill>
          </w14:textFill>
        </w:rPr>
        <w:t>第十二条 加强空间资源要素保障</w:t>
      </w:r>
    </w:p>
    <w:p>
      <w:pPr>
        <w:adjustRightInd w:val="0"/>
        <w:snapToGrid w:val="0"/>
        <w:spacing w:line="56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优先向上一年营业收入超过5亿元，在佛山高新区累计税收超过4000万的瞪羚企业增资扩产项目供应土地。</w:t>
      </w:r>
    </w:p>
    <w:p>
      <w:pPr>
        <w:adjustRightInd w:val="0"/>
        <w:snapToGrid w:val="0"/>
        <w:spacing w:line="560" w:lineRule="exact"/>
        <w:ind w:firstLine="643" w:firstLineChars="200"/>
        <w:rPr>
          <w:rFonts w:ascii="楷体" w:hAnsi="楷体" w:eastAsia="楷体" w:cs="楷体"/>
          <w:b/>
          <w:bCs/>
          <w:color w:val="000000" w:themeColor="text1"/>
          <w:sz w:val="32"/>
          <w:szCs w:val="32"/>
          <w:shd w:val="clear" w:color="auto" w:fill="FFFFFF"/>
          <w14:textFill>
            <w14:solidFill>
              <w14:schemeClr w14:val="tx1"/>
            </w14:solidFill>
          </w14:textFill>
        </w:rPr>
      </w:pPr>
      <w:r>
        <w:rPr>
          <w:rFonts w:hint="eastAsia" w:ascii="楷体" w:hAnsi="楷体" w:eastAsia="楷体" w:cs="楷体"/>
          <w:b/>
          <w:bCs/>
          <w:color w:val="000000" w:themeColor="text1"/>
          <w:sz w:val="32"/>
          <w:szCs w:val="32"/>
          <w:shd w:val="clear" w:color="auto" w:fill="FFFFFF"/>
          <w14:textFill>
            <w14:solidFill>
              <w14:schemeClr w14:val="tx1"/>
            </w14:solidFill>
          </w14:textFill>
        </w:rPr>
        <w:t>第十三条 搭建瞪羚俱乐部</w:t>
      </w:r>
    </w:p>
    <w:p>
      <w:pPr>
        <w:adjustRightInd w:val="0"/>
        <w:snapToGrid w:val="0"/>
        <w:spacing w:line="56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通过定期举办不同主题的“瞪羚俱乐部”交流会，以科技创新、金融、管理等领域为主题，对接国内外知名专家、企业领袖，增加“瞪羚企业”与高端创新资源之间的交流合作。</w:t>
      </w:r>
    </w:p>
    <w:p>
      <w:pPr>
        <w:adjustRightInd w:val="0"/>
        <w:snapToGrid w:val="0"/>
        <w:spacing w:line="560" w:lineRule="exact"/>
        <w:ind w:firstLine="643" w:firstLineChars="200"/>
        <w:rPr>
          <w:rFonts w:ascii="楷体" w:hAnsi="楷体" w:eastAsia="楷体" w:cs="楷体"/>
          <w:b/>
          <w:bCs/>
          <w:color w:val="000000" w:themeColor="text1"/>
          <w:sz w:val="32"/>
          <w:szCs w:val="32"/>
          <w:shd w:val="clear" w:color="auto" w:fill="FFFFFF"/>
          <w14:textFill>
            <w14:solidFill>
              <w14:schemeClr w14:val="tx1"/>
            </w14:solidFill>
          </w14:textFill>
        </w:rPr>
      </w:pPr>
      <w:r>
        <w:rPr>
          <w:rFonts w:hint="eastAsia" w:ascii="楷体" w:hAnsi="楷体" w:eastAsia="楷体" w:cs="楷体"/>
          <w:b/>
          <w:bCs/>
          <w:color w:val="000000" w:themeColor="text1"/>
          <w:sz w:val="32"/>
          <w:szCs w:val="32"/>
          <w:shd w:val="clear" w:color="auto" w:fill="FFFFFF"/>
          <w14:textFill>
            <w14:solidFill>
              <w14:schemeClr w14:val="tx1"/>
            </w14:solidFill>
          </w14:textFill>
        </w:rPr>
        <w:t>第十四条 鼓励企业规范内部管理</w:t>
      </w:r>
    </w:p>
    <w:p>
      <w:pPr>
        <w:adjustRightInd w:val="0"/>
        <w:snapToGrid w:val="0"/>
        <w:spacing w:line="56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为了进一步促进企业管理模式创新，设立企业咨询专项资金，用于补贴本年度认定的瞪羚企业采购管理专题培训、战略规划制定、商业模式设计、组织架构优化、岗位绩效提升、投资并购咨询、信息化建设、智能化改造等咨询服务的开支，以咨询费用的50%进行补贴，在认定为瞪羚企业的年度内，每家企业的补贴金额上限为30万元/年。</w:t>
      </w:r>
    </w:p>
    <w:p>
      <w:pPr>
        <w:adjustRightInd w:val="0"/>
        <w:snapToGrid w:val="0"/>
        <w:spacing w:line="560" w:lineRule="exact"/>
        <w:ind w:firstLine="643" w:firstLineChars="200"/>
        <w:rPr>
          <w:rFonts w:ascii="楷体" w:hAnsi="楷体" w:eastAsia="楷体" w:cs="楷体"/>
          <w:b/>
          <w:bCs/>
          <w:color w:val="000000" w:themeColor="text1"/>
          <w:sz w:val="32"/>
          <w:szCs w:val="32"/>
          <w:shd w:val="clear" w:color="auto" w:fill="FFFFFF"/>
          <w14:textFill>
            <w14:solidFill>
              <w14:schemeClr w14:val="tx1"/>
            </w14:solidFill>
          </w14:textFill>
        </w:rPr>
      </w:pPr>
      <w:r>
        <w:rPr>
          <w:rFonts w:hint="eastAsia" w:ascii="楷体" w:hAnsi="楷体" w:eastAsia="楷体" w:cs="楷体"/>
          <w:b/>
          <w:bCs/>
          <w:color w:val="000000" w:themeColor="text1"/>
          <w:sz w:val="32"/>
          <w:szCs w:val="32"/>
          <w:shd w:val="clear" w:color="auto" w:fill="FFFFFF"/>
          <w14:textFill>
            <w14:solidFill>
              <w14:schemeClr w14:val="tx1"/>
            </w14:solidFill>
          </w14:textFill>
        </w:rPr>
        <w:t>第十五条 促进企业加强外部交流</w:t>
      </w:r>
    </w:p>
    <w:p>
      <w:pPr>
        <w:adjustRightInd w:val="0"/>
        <w:snapToGrid w:val="0"/>
        <w:spacing w:line="56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加强对接国际先进理念与技术，每年组织一期瞪羚企业高层管理人员学习交流会，到国外知名企业学习借鉴其经营理念、管理模式以及技术创新经验，涉及的交通费及住宿费由管委会按照公务标准给予50%的费用补贴。</w:t>
      </w:r>
    </w:p>
    <w:p>
      <w:pPr>
        <w:adjustRightInd w:val="0"/>
        <w:snapToGrid w:val="0"/>
        <w:spacing w:line="560" w:lineRule="exact"/>
        <w:ind w:firstLine="643" w:firstLineChars="200"/>
        <w:rPr>
          <w:rFonts w:ascii="楷体" w:hAnsi="楷体" w:eastAsia="楷体" w:cs="楷体"/>
          <w:b/>
          <w:bCs/>
          <w:color w:val="000000" w:themeColor="text1"/>
          <w:sz w:val="32"/>
          <w:szCs w:val="32"/>
          <w:shd w:val="clear" w:color="auto" w:fill="FFFFFF"/>
          <w14:textFill>
            <w14:solidFill>
              <w14:schemeClr w14:val="tx1"/>
            </w14:solidFill>
          </w14:textFill>
        </w:rPr>
      </w:pPr>
      <w:r>
        <w:rPr>
          <w:rFonts w:hint="eastAsia" w:ascii="楷体" w:hAnsi="楷体" w:eastAsia="楷体" w:cs="楷体"/>
          <w:b/>
          <w:bCs/>
          <w:color w:val="000000" w:themeColor="text1"/>
          <w:sz w:val="32"/>
          <w:szCs w:val="32"/>
          <w:shd w:val="clear" w:color="auto" w:fill="FFFFFF"/>
          <w14:textFill>
            <w14:solidFill>
              <w14:schemeClr w14:val="tx1"/>
            </w14:solidFill>
          </w14:textFill>
        </w:rPr>
        <w:t>第十六条 支持企业市场拓展</w:t>
      </w:r>
    </w:p>
    <w:p>
      <w:pPr>
        <w:adjustRightInd w:val="0"/>
        <w:snapToGrid w:val="0"/>
        <w:spacing w:line="56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扶持瞪羚企业开拓市场，针对佛山市高新区的重点工程、示范项目，在同等条件下优先面向瞪羚企业采购，并推荐瞪羚企业参与国家、省、市重大项目政府采购。</w:t>
      </w:r>
    </w:p>
    <w:p>
      <w:pPr>
        <w:adjustRightInd w:val="0"/>
        <w:snapToGrid w:val="0"/>
        <w:spacing w:line="560" w:lineRule="exact"/>
        <w:ind w:firstLine="643" w:firstLineChars="200"/>
        <w:rPr>
          <w:rFonts w:ascii="楷体" w:hAnsi="楷体" w:eastAsia="楷体" w:cs="楷体"/>
          <w:b/>
          <w:bCs/>
          <w:color w:val="000000" w:themeColor="text1"/>
          <w:sz w:val="32"/>
          <w:szCs w:val="32"/>
          <w:shd w:val="clear" w:color="auto" w:fill="FFFFFF"/>
          <w14:textFill>
            <w14:solidFill>
              <w14:schemeClr w14:val="tx1"/>
            </w14:solidFill>
          </w14:textFill>
        </w:rPr>
      </w:pPr>
      <w:r>
        <w:rPr>
          <w:rFonts w:hint="eastAsia" w:ascii="楷体" w:hAnsi="楷体" w:eastAsia="楷体" w:cs="楷体"/>
          <w:b/>
          <w:bCs/>
          <w:color w:val="000000" w:themeColor="text1"/>
          <w:sz w:val="32"/>
          <w:szCs w:val="32"/>
          <w:shd w:val="clear" w:color="auto" w:fill="FFFFFF"/>
          <w14:textFill>
            <w14:solidFill>
              <w14:schemeClr w14:val="tx1"/>
            </w14:solidFill>
          </w14:textFill>
        </w:rPr>
        <w:t>第十七条 鼓励企业本土化采购</w:t>
      </w:r>
    </w:p>
    <w:p>
      <w:pPr>
        <w:adjustRightInd w:val="0"/>
        <w:snapToGrid w:val="0"/>
        <w:spacing w:line="56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认定有效期内的瞪羚企业，向无关联关系的佛山高新区内企业销售产品，开票销售收入达到500万元以上的，奖励瞪羚企业10万元，每家企业最高不超过30万元/年的奖励；向无关联关系的佛山高新区企业采购产品超过500万元的瞪羚企业，按照采购额2%给予补助，最高不超过50万元/年。</w:t>
      </w:r>
    </w:p>
    <w:p>
      <w:pPr>
        <w:widowControl/>
        <w:shd w:val="clear" w:color="auto" w:fill="FFFFFF"/>
        <w:adjustRightInd w:val="0"/>
        <w:snapToGrid w:val="0"/>
        <w:spacing w:line="560" w:lineRule="exact"/>
        <w:jc w:val="center"/>
        <w:rPr>
          <w:rStyle w:val="10"/>
          <w:rFonts w:ascii="黑体" w:hAnsi="黑体" w:eastAsia="黑体" w:cs="黑体"/>
          <w:bCs/>
          <w:color w:val="000000" w:themeColor="text1"/>
          <w:sz w:val="32"/>
          <w:szCs w:val="32"/>
          <w:shd w:val="clear" w:color="auto" w:fill="FFFFFF"/>
          <w14:textFill>
            <w14:solidFill>
              <w14:schemeClr w14:val="tx1"/>
            </w14:solidFill>
          </w14:textFill>
        </w:rPr>
      </w:pPr>
      <w:r>
        <w:rPr>
          <w:rStyle w:val="10"/>
          <w:rFonts w:hint="eastAsia" w:ascii="黑体" w:hAnsi="黑体" w:eastAsia="黑体" w:cs="黑体"/>
          <w:b w:val="0"/>
          <w:bCs/>
          <w:color w:val="000000" w:themeColor="text1"/>
          <w:sz w:val="32"/>
          <w:szCs w:val="32"/>
          <w:shd w:val="clear" w:color="auto" w:fill="FFFFFF"/>
          <w14:textFill>
            <w14:solidFill>
              <w14:schemeClr w14:val="tx1"/>
            </w14:solidFill>
          </w14:textFill>
        </w:rPr>
        <w:t xml:space="preserve">第五章 </w:t>
      </w:r>
      <w:r>
        <w:rPr>
          <w:rStyle w:val="10"/>
          <w:rFonts w:ascii="黑体" w:hAnsi="黑体" w:eastAsia="黑体" w:cs="黑体"/>
          <w:b w:val="0"/>
          <w:bCs/>
          <w:color w:val="000000" w:themeColor="text1"/>
          <w:sz w:val="32"/>
          <w:szCs w:val="32"/>
          <w:shd w:val="clear" w:color="auto" w:fill="FFFFFF"/>
          <w14:textFill>
            <w14:solidFill>
              <w14:schemeClr w14:val="tx1"/>
            </w14:solidFill>
          </w14:textFill>
        </w:rPr>
        <w:t xml:space="preserve"> </w:t>
      </w:r>
      <w:r>
        <w:rPr>
          <w:rStyle w:val="10"/>
          <w:rFonts w:hint="eastAsia" w:ascii="黑体" w:hAnsi="黑体" w:eastAsia="黑体" w:cs="黑体"/>
          <w:b w:val="0"/>
          <w:bCs/>
          <w:color w:val="000000" w:themeColor="text1"/>
          <w:sz w:val="32"/>
          <w:szCs w:val="32"/>
          <w:shd w:val="clear" w:color="auto" w:fill="FFFFFF"/>
          <w14:textFill>
            <w14:solidFill>
              <w14:schemeClr w14:val="tx1"/>
            </w14:solidFill>
          </w14:textFill>
        </w:rPr>
        <w:t>附 则</w:t>
      </w:r>
    </w:p>
    <w:p>
      <w:pPr>
        <w:pStyle w:val="8"/>
        <w:widowControl/>
        <w:shd w:val="clear" w:color="auto" w:fill="FFFFFF"/>
        <w:adjustRightInd w:val="0"/>
        <w:snapToGrid w:val="0"/>
        <w:spacing w:beforeAutospacing="0" w:afterAutospacing="0" w:line="560" w:lineRule="exact"/>
        <w:ind w:firstLine="643" w:firstLineChars="200"/>
        <w:jc w:val="both"/>
        <w:rPr>
          <w:rFonts w:ascii="仿宋" w:hAnsi="仿宋" w:eastAsia="仿宋" w:cs="仿宋"/>
          <w:color w:val="000000" w:themeColor="text1"/>
          <w:sz w:val="32"/>
          <w:szCs w:val="32"/>
          <w14:textFill>
            <w14:solidFill>
              <w14:schemeClr w14:val="tx1"/>
            </w14:solidFill>
          </w14:textFill>
        </w:rPr>
      </w:pPr>
      <w:r>
        <w:rPr>
          <w:rFonts w:hint="eastAsia" w:ascii="楷体" w:hAnsi="楷体" w:eastAsia="楷体" w:cs="楷体"/>
          <w:b/>
          <w:bCs/>
          <w:color w:val="000000" w:themeColor="text1"/>
          <w:kern w:val="2"/>
          <w:sz w:val="32"/>
          <w:szCs w:val="32"/>
          <w:shd w:val="clear" w:color="auto" w:fill="FFFFFF"/>
          <w14:textFill>
            <w14:solidFill>
              <w14:schemeClr w14:val="tx1"/>
            </w14:solidFill>
          </w14:textFill>
        </w:rPr>
        <w:t>第十八条</w:t>
      </w:r>
      <w:r>
        <w:rPr>
          <w:rFonts w:hint="eastAsia" w:ascii="仿宋" w:hAnsi="仿宋" w:eastAsia="仿宋" w:cs="仿宋"/>
          <w:color w:val="000000" w:themeColor="text1"/>
          <w:sz w:val="32"/>
          <w:szCs w:val="32"/>
          <w:shd w:val="clear" w:color="auto" w:fill="FFFFFF"/>
          <w14:textFill>
            <w14:solidFill>
              <w14:schemeClr w14:val="tx1"/>
            </w14:solidFill>
          </w14:textFill>
        </w:rPr>
        <w:t xml:space="preserve"> 申报单位应提供真实的材料和凭证，如有弄虚作假者，一经发现，已发放的费用全数退回，三年内取消申报各级各类奖励奖项和承担各级各类科技计划项目的资格。情节严重的，依法追究其法律责任。</w:t>
      </w:r>
    </w:p>
    <w:p>
      <w:pPr>
        <w:pStyle w:val="8"/>
        <w:widowControl/>
        <w:shd w:val="clear" w:color="auto" w:fill="FFFFFF"/>
        <w:adjustRightInd w:val="0"/>
        <w:snapToGrid w:val="0"/>
        <w:spacing w:beforeAutospacing="0" w:afterAutospacing="0" w:line="560" w:lineRule="exact"/>
        <w:ind w:firstLine="643" w:firstLineChars="200"/>
        <w:jc w:val="both"/>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楷体" w:hAnsi="楷体" w:eastAsia="楷体" w:cs="楷体"/>
          <w:b/>
          <w:bCs/>
          <w:color w:val="000000" w:themeColor="text1"/>
          <w:kern w:val="2"/>
          <w:sz w:val="32"/>
          <w:szCs w:val="32"/>
          <w:shd w:val="clear" w:color="auto" w:fill="FFFFFF"/>
          <w14:textFill>
            <w14:solidFill>
              <w14:schemeClr w14:val="tx1"/>
            </w14:solidFill>
          </w14:textFill>
        </w:rPr>
        <w:t>第十九条</w:t>
      </w:r>
      <w:r>
        <w:rPr>
          <w:rFonts w:hint="eastAsia" w:ascii="仿宋" w:hAnsi="仿宋" w:eastAsia="仿宋" w:cs="仿宋"/>
          <w:color w:val="000000" w:themeColor="text1"/>
          <w:sz w:val="32"/>
          <w:szCs w:val="32"/>
          <w:shd w:val="clear" w:color="auto" w:fill="FFFFFF"/>
          <w14:textFill>
            <w14:solidFill>
              <w14:schemeClr w14:val="tx1"/>
            </w14:solidFill>
          </w14:textFill>
        </w:rPr>
        <w:t xml:space="preserve"> 本办法由</w:t>
      </w:r>
      <w:r>
        <w:rPr>
          <w:rFonts w:hint="eastAsia" w:ascii="仿宋" w:hAnsi="仿宋" w:eastAsia="仿宋" w:cs="仿宋"/>
          <w:color w:val="000000" w:themeColor="text1"/>
          <w:sz w:val="32"/>
          <w:szCs w:val="32"/>
          <w14:textFill>
            <w14:solidFill>
              <w14:schemeClr w14:val="tx1"/>
            </w14:solidFill>
          </w14:textFill>
        </w:rPr>
        <w:t>佛山高新区管委会XX部门</w:t>
      </w:r>
      <w:r>
        <w:rPr>
          <w:rFonts w:hint="eastAsia" w:ascii="仿宋" w:hAnsi="仿宋" w:eastAsia="仿宋" w:cs="仿宋"/>
          <w:color w:val="000000" w:themeColor="text1"/>
          <w:sz w:val="32"/>
          <w:szCs w:val="32"/>
          <w:shd w:val="clear" w:color="auto" w:fill="FFFFFF"/>
          <w14:textFill>
            <w14:solidFill>
              <w14:schemeClr w14:val="tx1"/>
            </w14:solidFill>
          </w14:textFill>
        </w:rPr>
        <w:t>负责解释。</w:t>
      </w:r>
    </w:p>
    <w:p>
      <w:pPr>
        <w:pStyle w:val="8"/>
        <w:widowControl/>
        <w:shd w:val="clear" w:color="auto" w:fill="FFFFFF"/>
        <w:adjustRightInd w:val="0"/>
        <w:snapToGrid w:val="0"/>
        <w:spacing w:beforeAutospacing="0" w:afterAutospacing="0" w:line="560" w:lineRule="exact"/>
        <w:ind w:firstLine="643" w:firstLineChars="200"/>
        <w:jc w:val="both"/>
        <w:rPr>
          <w:rFonts w:ascii="仿宋" w:hAnsi="仿宋" w:eastAsia="仿宋" w:cs="仿宋"/>
          <w:color w:val="000000" w:themeColor="text1"/>
          <w:sz w:val="32"/>
          <w:szCs w:val="32"/>
          <w14:textFill>
            <w14:solidFill>
              <w14:schemeClr w14:val="tx1"/>
            </w14:solidFill>
          </w14:textFill>
        </w:rPr>
      </w:pPr>
      <w:r>
        <w:rPr>
          <w:rFonts w:hint="eastAsia" w:ascii="楷体" w:hAnsi="楷体" w:eastAsia="楷体" w:cs="楷体"/>
          <w:b/>
          <w:bCs/>
          <w:color w:val="000000" w:themeColor="text1"/>
          <w:kern w:val="2"/>
          <w:sz w:val="32"/>
          <w:szCs w:val="32"/>
          <w:shd w:val="clear" w:color="auto" w:fill="FFFFFF"/>
          <w14:textFill>
            <w14:solidFill>
              <w14:schemeClr w14:val="tx1"/>
            </w14:solidFill>
          </w14:textFill>
        </w:rPr>
        <w:t>第二十条</w:t>
      </w:r>
      <w:r>
        <w:rPr>
          <w:rFonts w:hint="eastAsia" w:ascii="仿宋" w:hAnsi="仿宋" w:eastAsia="仿宋" w:cs="仿宋"/>
          <w:color w:val="000000" w:themeColor="text1"/>
          <w:sz w:val="32"/>
          <w:szCs w:val="32"/>
          <w14:textFill>
            <w14:solidFill>
              <w14:schemeClr w14:val="tx1"/>
            </w14:solidFill>
          </w14:textFill>
        </w:rPr>
        <w:t xml:space="preserve"> 本办法与其他各级同类扶持政策实行“从高不重复”原则。</w:t>
      </w:r>
    </w:p>
    <w:p>
      <w:pPr>
        <w:pStyle w:val="8"/>
        <w:widowControl/>
        <w:shd w:val="clear" w:color="auto" w:fill="FFFFFF"/>
        <w:adjustRightInd w:val="0"/>
        <w:snapToGrid w:val="0"/>
        <w:spacing w:beforeAutospacing="0" w:afterAutospacing="0" w:line="560" w:lineRule="exact"/>
        <w:ind w:firstLine="643" w:firstLineChars="200"/>
        <w:jc w:val="both"/>
        <w:rPr>
          <w:rFonts w:ascii="仿宋" w:hAnsi="仿宋" w:eastAsia="仿宋" w:cs="仿宋"/>
          <w:color w:val="000000" w:themeColor="text1"/>
          <w:sz w:val="32"/>
          <w:szCs w:val="32"/>
          <w14:textFill>
            <w14:solidFill>
              <w14:schemeClr w14:val="tx1"/>
            </w14:solidFill>
          </w14:textFill>
        </w:rPr>
      </w:pPr>
      <w:r>
        <w:rPr>
          <w:rFonts w:hint="eastAsia" w:ascii="楷体" w:hAnsi="楷体" w:eastAsia="楷体" w:cs="楷体"/>
          <w:b/>
          <w:bCs/>
          <w:color w:val="000000" w:themeColor="text1"/>
          <w:kern w:val="2"/>
          <w:sz w:val="32"/>
          <w:szCs w:val="32"/>
          <w:shd w:val="clear" w:color="auto" w:fill="FFFFFF"/>
          <w14:textFill>
            <w14:solidFill>
              <w14:schemeClr w14:val="tx1"/>
            </w14:solidFill>
          </w14:textFill>
        </w:rPr>
        <w:t>第二十一条</w:t>
      </w:r>
      <w:r>
        <w:rPr>
          <w:rFonts w:hint="eastAsia" w:ascii="仿宋" w:hAnsi="仿宋" w:eastAsia="仿宋" w:cs="仿宋"/>
          <w:color w:val="000000" w:themeColor="text1"/>
          <w:sz w:val="32"/>
          <w:szCs w:val="32"/>
          <w:shd w:val="clear" w:color="auto" w:fill="FFFFFF"/>
          <w14:textFill>
            <w14:solidFill>
              <w14:schemeClr w14:val="tx1"/>
            </w14:solidFill>
          </w14:textFill>
        </w:rPr>
        <w:t xml:space="preserve"> 本办法自2018年1月1日起实施，有效期至2020年12月31日。</w:t>
      </w:r>
    </w:p>
    <w:p>
      <w:pPr>
        <w:adjustRightInd w:val="0"/>
        <w:snapToGrid w:val="0"/>
        <w:spacing w:line="560" w:lineRule="exact"/>
        <w:rPr>
          <w:rFonts w:ascii="仿宋" w:hAnsi="仿宋" w:eastAsia="仿宋" w:cs="仿宋"/>
          <w:color w:val="000000" w:themeColor="text1"/>
          <w:sz w:val="32"/>
          <w:szCs w:val="32"/>
          <w:highlight w:val="yellow"/>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等线">
    <w:altName w:val="宋体"/>
    <w:panose1 w:val="02010600030101010101"/>
    <w:charset w:val="86"/>
    <w:family w:val="auto"/>
    <w:pitch w:val="default"/>
    <w:sig w:usb0="00000000" w:usb1="00000000"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3E8"/>
    <w:rsid w:val="00013D91"/>
    <w:rsid w:val="000150F2"/>
    <w:rsid w:val="00016EA9"/>
    <w:rsid w:val="000235EF"/>
    <w:rsid w:val="00037746"/>
    <w:rsid w:val="00043369"/>
    <w:rsid w:val="00047782"/>
    <w:rsid w:val="00051C7D"/>
    <w:rsid w:val="00063A82"/>
    <w:rsid w:val="000646FC"/>
    <w:rsid w:val="0006775E"/>
    <w:rsid w:val="00082A0D"/>
    <w:rsid w:val="00082D5E"/>
    <w:rsid w:val="00096A08"/>
    <w:rsid w:val="000A265E"/>
    <w:rsid w:val="000A621D"/>
    <w:rsid w:val="000C2750"/>
    <w:rsid w:val="000F66FE"/>
    <w:rsid w:val="00124FE7"/>
    <w:rsid w:val="00127AAE"/>
    <w:rsid w:val="00137984"/>
    <w:rsid w:val="00137BAF"/>
    <w:rsid w:val="001410B5"/>
    <w:rsid w:val="00142DD7"/>
    <w:rsid w:val="00154CB2"/>
    <w:rsid w:val="0016402C"/>
    <w:rsid w:val="001861F7"/>
    <w:rsid w:val="001962FB"/>
    <w:rsid w:val="001A3506"/>
    <w:rsid w:val="001C22E0"/>
    <w:rsid w:val="001F513E"/>
    <w:rsid w:val="00211734"/>
    <w:rsid w:val="00217CD4"/>
    <w:rsid w:val="00223074"/>
    <w:rsid w:val="0022750C"/>
    <w:rsid w:val="0022790D"/>
    <w:rsid w:val="00230BFF"/>
    <w:rsid w:val="002335EB"/>
    <w:rsid w:val="00234444"/>
    <w:rsid w:val="00236577"/>
    <w:rsid w:val="00240DFE"/>
    <w:rsid w:val="002432FE"/>
    <w:rsid w:val="0025250C"/>
    <w:rsid w:val="002579EB"/>
    <w:rsid w:val="002637C9"/>
    <w:rsid w:val="002641DC"/>
    <w:rsid w:val="00264850"/>
    <w:rsid w:val="002671C6"/>
    <w:rsid w:val="002748B1"/>
    <w:rsid w:val="00281A5D"/>
    <w:rsid w:val="002833BE"/>
    <w:rsid w:val="0028758A"/>
    <w:rsid w:val="00291F5C"/>
    <w:rsid w:val="002A3056"/>
    <w:rsid w:val="002A747B"/>
    <w:rsid w:val="002C4D55"/>
    <w:rsid w:val="002E2B7A"/>
    <w:rsid w:val="0030427D"/>
    <w:rsid w:val="0031095B"/>
    <w:rsid w:val="00320E00"/>
    <w:rsid w:val="003256FC"/>
    <w:rsid w:val="00326199"/>
    <w:rsid w:val="003274D5"/>
    <w:rsid w:val="00331250"/>
    <w:rsid w:val="00337EE2"/>
    <w:rsid w:val="00344428"/>
    <w:rsid w:val="00344BF2"/>
    <w:rsid w:val="00351F73"/>
    <w:rsid w:val="00370682"/>
    <w:rsid w:val="00381704"/>
    <w:rsid w:val="00384C5B"/>
    <w:rsid w:val="00390B86"/>
    <w:rsid w:val="00391F44"/>
    <w:rsid w:val="003964E3"/>
    <w:rsid w:val="00396AA6"/>
    <w:rsid w:val="003A0BD1"/>
    <w:rsid w:val="003A2C16"/>
    <w:rsid w:val="003B09C7"/>
    <w:rsid w:val="003B43E1"/>
    <w:rsid w:val="003C3424"/>
    <w:rsid w:val="003D2B8F"/>
    <w:rsid w:val="003E1308"/>
    <w:rsid w:val="003E1DB2"/>
    <w:rsid w:val="003F1406"/>
    <w:rsid w:val="003F3119"/>
    <w:rsid w:val="00402719"/>
    <w:rsid w:val="004174AA"/>
    <w:rsid w:val="00424CD6"/>
    <w:rsid w:val="00426E86"/>
    <w:rsid w:val="00446E56"/>
    <w:rsid w:val="00460D58"/>
    <w:rsid w:val="00463FE0"/>
    <w:rsid w:val="0046647A"/>
    <w:rsid w:val="00467907"/>
    <w:rsid w:val="00471EB2"/>
    <w:rsid w:val="00481420"/>
    <w:rsid w:val="004A3E65"/>
    <w:rsid w:val="004A78E0"/>
    <w:rsid w:val="004B005F"/>
    <w:rsid w:val="004C063A"/>
    <w:rsid w:val="004D552B"/>
    <w:rsid w:val="004E11A5"/>
    <w:rsid w:val="004E70BE"/>
    <w:rsid w:val="004F6AAB"/>
    <w:rsid w:val="00501183"/>
    <w:rsid w:val="00501CBE"/>
    <w:rsid w:val="00502B53"/>
    <w:rsid w:val="00502CBA"/>
    <w:rsid w:val="005140AE"/>
    <w:rsid w:val="00521DEF"/>
    <w:rsid w:val="0053426C"/>
    <w:rsid w:val="005347C7"/>
    <w:rsid w:val="005400F8"/>
    <w:rsid w:val="0055015D"/>
    <w:rsid w:val="00552E6E"/>
    <w:rsid w:val="00553C55"/>
    <w:rsid w:val="00560BC4"/>
    <w:rsid w:val="00561BC4"/>
    <w:rsid w:val="0056221E"/>
    <w:rsid w:val="005629F8"/>
    <w:rsid w:val="00564A4F"/>
    <w:rsid w:val="00564CBA"/>
    <w:rsid w:val="00574E5B"/>
    <w:rsid w:val="005762CA"/>
    <w:rsid w:val="0058242D"/>
    <w:rsid w:val="005903E8"/>
    <w:rsid w:val="00590C1B"/>
    <w:rsid w:val="005B032F"/>
    <w:rsid w:val="005B1DD4"/>
    <w:rsid w:val="005C2CD7"/>
    <w:rsid w:val="005C4A55"/>
    <w:rsid w:val="005C50A5"/>
    <w:rsid w:val="005D0B8D"/>
    <w:rsid w:val="005D757A"/>
    <w:rsid w:val="005E4C3A"/>
    <w:rsid w:val="005E7BE9"/>
    <w:rsid w:val="005F0304"/>
    <w:rsid w:val="005F0F64"/>
    <w:rsid w:val="005F3267"/>
    <w:rsid w:val="00603C4D"/>
    <w:rsid w:val="006065A7"/>
    <w:rsid w:val="006107A9"/>
    <w:rsid w:val="00632DE2"/>
    <w:rsid w:val="00642B7B"/>
    <w:rsid w:val="00646547"/>
    <w:rsid w:val="00670592"/>
    <w:rsid w:val="00681C8D"/>
    <w:rsid w:val="006847F5"/>
    <w:rsid w:val="00684FF8"/>
    <w:rsid w:val="006915DF"/>
    <w:rsid w:val="0069392F"/>
    <w:rsid w:val="006A0310"/>
    <w:rsid w:val="006A7A52"/>
    <w:rsid w:val="006B1D62"/>
    <w:rsid w:val="006B3F7C"/>
    <w:rsid w:val="006D262F"/>
    <w:rsid w:val="006D5170"/>
    <w:rsid w:val="006E38EB"/>
    <w:rsid w:val="007006BC"/>
    <w:rsid w:val="00701E61"/>
    <w:rsid w:val="007059FA"/>
    <w:rsid w:val="0071085D"/>
    <w:rsid w:val="00716AC2"/>
    <w:rsid w:val="00722369"/>
    <w:rsid w:val="00725A79"/>
    <w:rsid w:val="00735F9E"/>
    <w:rsid w:val="0073727F"/>
    <w:rsid w:val="00747EDF"/>
    <w:rsid w:val="00766CF3"/>
    <w:rsid w:val="0077469D"/>
    <w:rsid w:val="00775496"/>
    <w:rsid w:val="00780114"/>
    <w:rsid w:val="007818E6"/>
    <w:rsid w:val="007868A7"/>
    <w:rsid w:val="00791126"/>
    <w:rsid w:val="00796C5D"/>
    <w:rsid w:val="007A2A17"/>
    <w:rsid w:val="007A5270"/>
    <w:rsid w:val="007A669B"/>
    <w:rsid w:val="007C486D"/>
    <w:rsid w:val="007E21C6"/>
    <w:rsid w:val="007E303A"/>
    <w:rsid w:val="007E7BFC"/>
    <w:rsid w:val="007F35F4"/>
    <w:rsid w:val="00802B26"/>
    <w:rsid w:val="00806505"/>
    <w:rsid w:val="008204AC"/>
    <w:rsid w:val="0083193F"/>
    <w:rsid w:val="008400FE"/>
    <w:rsid w:val="00840DFC"/>
    <w:rsid w:val="00845C6B"/>
    <w:rsid w:val="00852AAD"/>
    <w:rsid w:val="00852E6A"/>
    <w:rsid w:val="008637E6"/>
    <w:rsid w:val="00867F9D"/>
    <w:rsid w:val="00875696"/>
    <w:rsid w:val="00876646"/>
    <w:rsid w:val="00892631"/>
    <w:rsid w:val="008A0BE1"/>
    <w:rsid w:val="008B1D49"/>
    <w:rsid w:val="008B313F"/>
    <w:rsid w:val="008B5E33"/>
    <w:rsid w:val="008B5E4C"/>
    <w:rsid w:val="008B69F0"/>
    <w:rsid w:val="008C0EEE"/>
    <w:rsid w:val="008D3FD0"/>
    <w:rsid w:val="008D72CB"/>
    <w:rsid w:val="008D737F"/>
    <w:rsid w:val="008E0250"/>
    <w:rsid w:val="00903C3A"/>
    <w:rsid w:val="00905732"/>
    <w:rsid w:val="009103C0"/>
    <w:rsid w:val="00924A44"/>
    <w:rsid w:val="00926533"/>
    <w:rsid w:val="0095250E"/>
    <w:rsid w:val="0095758E"/>
    <w:rsid w:val="00965DBA"/>
    <w:rsid w:val="00967B2F"/>
    <w:rsid w:val="009725BA"/>
    <w:rsid w:val="00983ACF"/>
    <w:rsid w:val="00993AC7"/>
    <w:rsid w:val="009A1B9F"/>
    <w:rsid w:val="009B00A5"/>
    <w:rsid w:val="009B37E9"/>
    <w:rsid w:val="009C106E"/>
    <w:rsid w:val="009C6851"/>
    <w:rsid w:val="009D1468"/>
    <w:rsid w:val="009D7EFD"/>
    <w:rsid w:val="009E30E8"/>
    <w:rsid w:val="009E5716"/>
    <w:rsid w:val="009E5D9C"/>
    <w:rsid w:val="009F721D"/>
    <w:rsid w:val="00A03991"/>
    <w:rsid w:val="00A15B87"/>
    <w:rsid w:val="00A164BB"/>
    <w:rsid w:val="00A2008F"/>
    <w:rsid w:val="00A20891"/>
    <w:rsid w:val="00A337F3"/>
    <w:rsid w:val="00A41268"/>
    <w:rsid w:val="00A41D75"/>
    <w:rsid w:val="00A521F5"/>
    <w:rsid w:val="00A7181B"/>
    <w:rsid w:val="00A742D2"/>
    <w:rsid w:val="00A80F95"/>
    <w:rsid w:val="00A96FA2"/>
    <w:rsid w:val="00AA3FBD"/>
    <w:rsid w:val="00AB74C3"/>
    <w:rsid w:val="00AC0962"/>
    <w:rsid w:val="00AC12FD"/>
    <w:rsid w:val="00AC3435"/>
    <w:rsid w:val="00AD3C6A"/>
    <w:rsid w:val="00B058C4"/>
    <w:rsid w:val="00B06CBD"/>
    <w:rsid w:val="00B1700D"/>
    <w:rsid w:val="00B27E7C"/>
    <w:rsid w:val="00B30707"/>
    <w:rsid w:val="00B36F3F"/>
    <w:rsid w:val="00B64A58"/>
    <w:rsid w:val="00B66520"/>
    <w:rsid w:val="00B82D74"/>
    <w:rsid w:val="00B86E08"/>
    <w:rsid w:val="00B91DDE"/>
    <w:rsid w:val="00BA1A28"/>
    <w:rsid w:val="00BA27EE"/>
    <w:rsid w:val="00BA775F"/>
    <w:rsid w:val="00BB78E0"/>
    <w:rsid w:val="00BC03D1"/>
    <w:rsid w:val="00BC2A45"/>
    <w:rsid w:val="00BD08E2"/>
    <w:rsid w:val="00BD6F0F"/>
    <w:rsid w:val="00BE1728"/>
    <w:rsid w:val="00BE39A7"/>
    <w:rsid w:val="00BE3AAF"/>
    <w:rsid w:val="00C03B78"/>
    <w:rsid w:val="00C215E0"/>
    <w:rsid w:val="00C30DD5"/>
    <w:rsid w:val="00C333A1"/>
    <w:rsid w:val="00C43552"/>
    <w:rsid w:val="00C5003C"/>
    <w:rsid w:val="00C56B43"/>
    <w:rsid w:val="00C57796"/>
    <w:rsid w:val="00C71158"/>
    <w:rsid w:val="00C732C8"/>
    <w:rsid w:val="00C76D4E"/>
    <w:rsid w:val="00C81B7D"/>
    <w:rsid w:val="00C948FF"/>
    <w:rsid w:val="00C94FD9"/>
    <w:rsid w:val="00CA4862"/>
    <w:rsid w:val="00CA5029"/>
    <w:rsid w:val="00CC3599"/>
    <w:rsid w:val="00CD3C46"/>
    <w:rsid w:val="00D029BF"/>
    <w:rsid w:val="00D13662"/>
    <w:rsid w:val="00D15938"/>
    <w:rsid w:val="00D15A93"/>
    <w:rsid w:val="00D222EC"/>
    <w:rsid w:val="00D23246"/>
    <w:rsid w:val="00D31F40"/>
    <w:rsid w:val="00D449CA"/>
    <w:rsid w:val="00D4791C"/>
    <w:rsid w:val="00D743B1"/>
    <w:rsid w:val="00D76AFA"/>
    <w:rsid w:val="00D8183A"/>
    <w:rsid w:val="00D826D2"/>
    <w:rsid w:val="00DA3FA9"/>
    <w:rsid w:val="00DA59BB"/>
    <w:rsid w:val="00DA5EB1"/>
    <w:rsid w:val="00DB57C5"/>
    <w:rsid w:val="00DB72DB"/>
    <w:rsid w:val="00DB7ED3"/>
    <w:rsid w:val="00DC2C74"/>
    <w:rsid w:val="00DD24BC"/>
    <w:rsid w:val="00DD395F"/>
    <w:rsid w:val="00DE5AF9"/>
    <w:rsid w:val="00DE6B0E"/>
    <w:rsid w:val="00E00795"/>
    <w:rsid w:val="00E078DD"/>
    <w:rsid w:val="00E16E42"/>
    <w:rsid w:val="00E27F27"/>
    <w:rsid w:val="00E3065E"/>
    <w:rsid w:val="00E368B5"/>
    <w:rsid w:val="00E36A82"/>
    <w:rsid w:val="00E36B39"/>
    <w:rsid w:val="00E41614"/>
    <w:rsid w:val="00E41B34"/>
    <w:rsid w:val="00E44654"/>
    <w:rsid w:val="00E501C2"/>
    <w:rsid w:val="00E60F49"/>
    <w:rsid w:val="00E61D9F"/>
    <w:rsid w:val="00E62C9A"/>
    <w:rsid w:val="00E84C6C"/>
    <w:rsid w:val="00E84D39"/>
    <w:rsid w:val="00E84DFA"/>
    <w:rsid w:val="00E87445"/>
    <w:rsid w:val="00E972A3"/>
    <w:rsid w:val="00EA53F5"/>
    <w:rsid w:val="00EB5645"/>
    <w:rsid w:val="00EC0E0F"/>
    <w:rsid w:val="00EE4F3A"/>
    <w:rsid w:val="00EE54F1"/>
    <w:rsid w:val="00EE6DE6"/>
    <w:rsid w:val="00EE724B"/>
    <w:rsid w:val="00EF7919"/>
    <w:rsid w:val="00F07EA3"/>
    <w:rsid w:val="00F123B4"/>
    <w:rsid w:val="00F13B98"/>
    <w:rsid w:val="00F2720F"/>
    <w:rsid w:val="00F27A83"/>
    <w:rsid w:val="00F30BAF"/>
    <w:rsid w:val="00F330A3"/>
    <w:rsid w:val="00F502A3"/>
    <w:rsid w:val="00F53DD9"/>
    <w:rsid w:val="00F55227"/>
    <w:rsid w:val="00F600EC"/>
    <w:rsid w:val="00F71726"/>
    <w:rsid w:val="00F94E42"/>
    <w:rsid w:val="00F9736C"/>
    <w:rsid w:val="00FA627E"/>
    <w:rsid w:val="00FA76D8"/>
    <w:rsid w:val="00FE269F"/>
    <w:rsid w:val="00FF2156"/>
    <w:rsid w:val="02345FEB"/>
    <w:rsid w:val="07653857"/>
    <w:rsid w:val="0A422F7B"/>
    <w:rsid w:val="13CF205C"/>
    <w:rsid w:val="13EF2120"/>
    <w:rsid w:val="14DE5B08"/>
    <w:rsid w:val="19EB662A"/>
    <w:rsid w:val="1B883FEE"/>
    <w:rsid w:val="1DAF4B64"/>
    <w:rsid w:val="1ECD0FF5"/>
    <w:rsid w:val="28911B35"/>
    <w:rsid w:val="2E4C4C31"/>
    <w:rsid w:val="2F6E709B"/>
    <w:rsid w:val="3264079D"/>
    <w:rsid w:val="331543C3"/>
    <w:rsid w:val="33726961"/>
    <w:rsid w:val="351F5225"/>
    <w:rsid w:val="37BB37E0"/>
    <w:rsid w:val="38425F80"/>
    <w:rsid w:val="39402113"/>
    <w:rsid w:val="39507F5D"/>
    <w:rsid w:val="3D987B38"/>
    <w:rsid w:val="3F271DEE"/>
    <w:rsid w:val="3F445010"/>
    <w:rsid w:val="409E0112"/>
    <w:rsid w:val="419844C1"/>
    <w:rsid w:val="422F0C2E"/>
    <w:rsid w:val="44CF7761"/>
    <w:rsid w:val="48854455"/>
    <w:rsid w:val="4C0E4B9C"/>
    <w:rsid w:val="4C610AE4"/>
    <w:rsid w:val="5126272F"/>
    <w:rsid w:val="515175F6"/>
    <w:rsid w:val="5C311081"/>
    <w:rsid w:val="5D2A3792"/>
    <w:rsid w:val="5DC06223"/>
    <w:rsid w:val="621F5D07"/>
    <w:rsid w:val="63A87D33"/>
    <w:rsid w:val="66976A55"/>
    <w:rsid w:val="68DF0EBD"/>
    <w:rsid w:val="6A710A9C"/>
    <w:rsid w:val="6B5756D3"/>
    <w:rsid w:val="6CEF6ADD"/>
    <w:rsid w:val="6D923D65"/>
    <w:rsid w:val="6F591DFF"/>
    <w:rsid w:val="725930DC"/>
    <w:rsid w:val="737E533E"/>
    <w:rsid w:val="73B560E0"/>
    <w:rsid w:val="774030E7"/>
    <w:rsid w:val="77E7389B"/>
    <w:rsid w:val="78425EB0"/>
    <w:rsid w:val="788831CE"/>
    <w:rsid w:val="7AF97131"/>
    <w:rsid w:val="7CDA62DA"/>
    <w:rsid w:val="7D033561"/>
    <w:rsid w:val="7D0C480C"/>
    <w:rsid w:val="7FAF7B7A"/>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unhideWhenUsed/>
    <w:uiPriority w:val="1"/>
  </w:style>
  <w:style w:type="table" w:default="1" w:styleId="13">
    <w:name w:val="Normal Table"/>
    <w:unhideWhenUsed/>
    <w:uiPriority w:val="99"/>
    <w:tblPr>
      <w:tblLayout w:type="fixed"/>
      <w:tblCellMar>
        <w:top w:w="0" w:type="dxa"/>
        <w:left w:w="108" w:type="dxa"/>
        <w:bottom w:w="0" w:type="dxa"/>
        <w:right w:w="108" w:type="dxa"/>
      </w:tblCellMar>
    </w:tblPr>
  </w:style>
  <w:style w:type="paragraph" w:styleId="2">
    <w:name w:val="annotation subject"/>
    <w:basedOn w:val="3"/>
    <w:next w:val="3"/>
    <w:link w:val="17"/>
    <w:unhideWhenUsed/>
    <w:qFormat/>
    <w:uiPriority w:val="99"/>
    <w:rPr>
      <w:b/>
      <w:bCs/>
    </w:rPr>
  </w:style>
  <w:style w:type="paragraph" w:styleId="3">
    <w:name w:val="annotation text"/>
    <w:basedOn w:val="1"/>
    <w:link w:val="16"/>
    <w:unhideWhenUsed/>
    <w:qFormat/>
    <w:uiPriority w:val="99"/>
    <w:pPr>
      <w:jc w:val="left"/>
    </w:pPr>
  </w:style>
  <w:style w:type="paragraph" w:styleId="4">
    <w:name w:val="Balloon Text"/>
    <w:basedOn w:val="1"/>
    <w:link w:val="18"/>
    <w:unhideWhenUsed/>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link w:val="22"/>
    <w:unhideWhenUsed/>
    <w:uiPriority w:val="99"/>
    <w:pPr>
      <w:snapToGrid w:val="0"/>
      <w:jc w:val="left"/>
    </w:pPr>
    <w:rPr>
      <w:rFonts w:ascii="Times New Roman" w:hAnsi="Times New Roman" w:eastAsia="宋体" w:cs="Times New Roman"/>
      <w:sz w:val="18"/>
      <w:szCs w:val="18"/>
    </w:rPr>
  </w:style>
  <w:style w:type="paragraph" w:styleId="8">
    <w:name w:val="Normal (Web)"/>
    <w:basedOn w:val="1"/>
    <w:unhideWhenUsed/>
    <w:qFormat/>
    <w:uiPriority w:val="99"/>
    <w:pPr>
      <w:spacing w:beforeAutospacing="1" w:afterAutospacing="1"/>
      <w:jc w:val="left"/>
    </w:pPr>
    <w:rPr>
      <w:rFonts w:cs="Times New Roman"/>
      <w:kern w:val="0"/>
      <w:sz w:val="24"/>
    </w:rPr>
  </w:style>
  <w:style w:type="character" w:styleId="10">
    <w:name w:val="Strong"/>
    <w:basedOn w:val="9"/>
    <w:qFormat/>
    <w:uiPriority w:val="22"/>
    <w:rPr>
      <w:b/>
    </w:rPr>
  </w:style>
  <w:style w:type="character" w:styleId="11">
    <w:name w:val="annotation reference"/>
    <w:basedOn w:val="9"/>
    <w:unhideWhenUsed/>
    <w:qFormat/>
    <w:uiPriority w:val="99"/>
    <w:rPr>
      <w:sz w:val="21"/>
      <w:szCs w:val="21"/>
    </w:rPr>
  </w:style>
  <w:style w:type="character" w:styleId="12">
    <w:name w:val="footnote reference"/>
    <w:unhideWhenUsed/>
    <w:qFormat/>
    <w:uiPriority w:val="99"/>
    <w:rPr>
      <w:rFonts w:ascii="Calibri" w:hAnsi="Calibri" w:eastAsia="宋体" w:cs="宋体"/>
      <w:vertAlign w:val="superscript"/>
    </w:rPr>
  </w:style>
  <w:style w:type="character" w:customStyle="1" w:styleId="14">
    <w:name w:val="页眉 字符"/>
    <w:basedOn w:val="9"/>
    <w:link w:val="6"/>
    <w:qFormat/>
    <w:uiPriority w:val="99"/>
    <w:rPr>
      <w:sz w:val="18"/>
      <w:szCs w:val="18"/>
    </w:rPr>
  </w:style>
  <w:style w:type="character" w:customStyle="1" w:styleId="15">
    <w:name w:val="页脚 字符"/>
    <w:basedOn w:val="9"/>
    <w:link w:val="5"/>
    <w:qFormat/>
    <w:uiPriority w:val="99"/>
    <w:rPr>
      <w:sz w:val="18"/>
      <w:szCs w:val="18"/>
    </w:rPr>
  </w:style>
  <w:style w:type="character" w:customStyle="1" w:styleId="16">
    <w:name w:val="批注文字 字符"/>
    <w:basedOn w:val="9"/>
    <w:link w:val="3"/>
    <w:semiHidden/>
    <w:qFormat/>
    <w:uiPriority w:val="99"/>
  </w:style>
  <w:style w:type="character" w:customStyle="1" w:styleId="17">
    <w:name w:val="批注主题 字符"/>
    <w:basedOn w:val="16"/>
    <w:link w:val="2"/>
    <w:semiHidden/>
    <w:qFormat/>
    <w:uiPriority w:val="99"/>
    <w:rPr>
      <w:b/>
      <w:bCs/>
    </w:rPr>
  </w:style>
  <w:style w:type="character" w:customStyle="1" w:styleId="18">
    <w:name w:val="批注框文本 字符"/>
    <w:basedOn w:val="9"/>
    <w:link w:val="4"/>
    <w:semiHidden/>
    <w:qFormat/>
    <w:uiPriority w:val="99"/>
    <w:rPr>
      <w:sz w:val="18"/>
      <w:szCs w:val="18"/>
    </w:rPr>
  </w:style>
  <w:style w:type="paragraph" w:customStyle="1" w:styleId="19">
    <w:name w:val="列表段落1"/>
    <w:basedOn w:val="1"/>
    <w:qFormat/>
    <w:uiPriority w:val="34"/>
    <w:pPr>
      <w:ind w:firstLine="420" w:firstLineChars="200"/>
    </w:pPr>
  </w:style>
  <w:style w:type="paragraph" w:customStyle="1" w:styleId="20">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正文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22">
    <w:name w:val="脚注文本 字符"/>
    <w:basedOn w:val="9"/>
    <w:link w:val="7"/>
    <w:semiHidden/>
    <w:qFormat/>
    <w:uiPriority w:val="99"/>
    <w:rPr>
      <w:kern w:val="2"/>
      <w:sz w:val="18"/>
      <w:szCs w:val="18"/>
    </w:rPr>
  </w:style>
  <w:style w:type="character" w:customStyle="1" w:styleId="23">
    <w:name w:val="占位符文本1"/>
    <w:basedOn w:val="9"/>
    <w:semiHidden/>
    <w:qFormat/>
    <w:uiPriority w:val="99"/>
    <w:rPr>
      <w:color w:val="80808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1ABB2F-C7DF-49AC-BD79-69A65562D848}">
  <ds:schemaRefs/>
</ds:datastoreItem>
</file>

<file path=docProps/app.xml><?xml version="1.0" encoding="utf-8"?>
<Properties xmlns="http://schemas.openxmlformats.org/officeDocument/2006/extended-properties" xmlns:vt="http://schemas.openxmlformats.org/officeDocument/2006/docPropsVTypes">
  <Template>Normal.dotm</Template>
  <Pages>7</Pages>
  <Words>469</Words>
  <Characters>2679</Characters>
  <Lines>22</Lines>
  <Paragraphs>6</Paragraphs>
  <ScaleCrop>false</ScaleCrop>
  <LinksUpToDate>false</LinksUpToDate>
  <CharactersWithSpaces>3142</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2018-07-25T02:20:00Z</dcterms:created>
  <dc:creator>Administrator</dc:creator>
  <cp:lastModifiedBy>未定义</cp:lastModifiedBy>
  <dcterms:modified xsi:type="dcterms:W3CDTF">2018-07-26T01:51:34Z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